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02BE" w14:textId="27EA5884" w:rsidR="00376B18" w:rsidRPr="00376B18" w:rsidRDefault="00376B18" w:rsidP="00376B18">
      <w:pPr>
        <w:pStyle w:val="Pa3"/>
        <w:spacing w:after="140"/>
        <w:rPr>
          <w:rFonts w:asciiTheme="minorHAnsi" w:hAnsiTheme="minorHAnsi" w:cs="Whitney-Medium"/>
          <w:b/>
          <w:color w:val="000000"/>
          <w:sz w:val="28"/>
          <w:szCs w:val="28"/>
        </w:rPr>
      </w:pPr>
      <w:r w:rsidRPr="00376B18">
        <w:rPr>
          <w:rFonts w:asciiTheme="minorHAnsi" w:hAnsiTheme="minorHAnsi" w:cs="Whitney-Medium"/>
          <w:b/>
          <w:color w:val="000000"/>
          <w:sz w:val="28"/>
          <w:szCs w:val="28"/>
        </w:rPr>
        <w:t>Dispel</w:t>
      </w:r>
      <w:r w:rsidR="00C63A6F">
        <w:rPr>
          <w:rFonts w:asciiTheme="minorHAnsi" w:hAnsiTheme="minorHAnsi" w:cs="Whitney-Medium"/>
          <w:b/>
          <w:color w:val="000000"/>
          <w:sz w:val="28"/>
          <w:szCs w:val="28"/>
        </w:rPr>
        <w:t>ling</w:t>
      </w:r>
      <w:r w:rsidRPr="00376B18">
        <w:rPr>
          <w:rFonts w:asciiTheme="minorHAnsi" w:hAnsiTheme="minorHAnsi" w:cs="Whitney-Medium"/>
          <w:b/>
          <w:color w:val="000000"/>
          <w:sz w:val="28"/>
          <w:szCs w:val="28"/>
        </w:rPr>
        <w:t xml:space="preserve"> </w:t>
      </w:r>
      <w:bookmarkStart w:id="0" w:name="_GoBack"/>
      <w:bookmarkEnd w:id="0"/>
      <w:r w:rsidRPr="00376B18">
        <w:rPr>
          <w:rFonts w:asciiTheme="minorHAnsi" w:hAnsiTheme="minorHAnsi" w:cs="Whitney-Medium"/>
          <w:b/>
          <w:color w:val="000000"/>
          <w:sz w:val="28"/>
          <w:szCs w:val="28"/>
        </w:rPr>
        <w:t>myths</w:t>
      </w:r>
      <w:r w:rsidR="007A22C9">
        <w:rPr>
          <w:rStyle w:val="FootnoteReference"/>
          <w:rFonts w:asciiTheme="minorHAnsi" w:hAnsiTheme="minorHAnsi" w:cs="Whitney-Medium"/>
          <w:b/>
          <w:color w:val="000000"/>
          <w:sz w:val="28"/>
          <w:szCs w:val="28"/>
        </w:rPr>
        <w:footnoteReference w:id="1"/>
      </w:r>
      <w:r w:rsidRPr="00376B18">
        <w:rPr>
          <w:rFonts w:asciiTheme="minorHAnsi" w:hAnsiTheme="minorHAnsi" w:cs="Whitney-Medium"/>
          <w:b/>
          <w:color w:val="000000"/>
          <w:sz w:val="28"/>
          <w:szCs w:val="28"/>
        </w:rPr>
        <w:t xml:space="preserve"> </w:t>
      </w:r>
    </w:p>
    <w:p w14:paraId="5EDBEF90" w14:textId="77777777" w:rsidR="00376B18" w:rsidRPr="00376B18" w:rsidRDefault="00376B18" w:rsidP="00376B18">
      <w:pPr>
        <w:pStyle w:val="Pa3"/>
        <w:spacing w:after="140"/>
        <w:rPr>
          <w:rFonts w:asciiTheme="minorHAnsi" w:hAnsiTheme="minorHAnsi" w:cs="MNYKDH+ArialMT"/>
          <w:color w:val="000000"/>
          <w:sz w:val="22"/>
          <w:szCs w:val="22"/>
        </w:rPr>
      </w:pPr>
      <w:r w:rsidRPr="00376B18">
        <w:rPr>
          <w:rFonts w:asciiTheme="minorHAnsi" w:hAnsiTheme="minorHAnsi" w:cs="MNYKDH+ArialMT"/>
          <w:color w:val="000000"/>
          <w:sz w:val="22"/>
          <w:szCs w:val="22"/>
        </w:rPr>
        <w:t xml:space="preserve">Balancing workplace accommodations with health and safety standards emerged as another perceived barrier. It was generally thought preferable for companies to provide accommodations in administrative and customer service positions than in physically demanding jobs. Also mentioned was the belief that hiring people with disabilities could bring with it legal obligations related to human rights, performance monitoring and discipline. These perceptions are among most common myths about people with disabilities: </w:t>
      </w:r>
    </w:p>
    <w:p w14:paraId="36825E86" w14:textId="77777777" w:rsidR="00376B18" w:rsidRPr="00376B18" w:rsidRDefault="00376B18" w:rsidP="00376B18">
      <w:pPr>
        <w:pStyle w:val="Pa3"/>
        <w:spacing w:after="140"/>
        <w:rPr>
          <w:rFonts w:asciiTheme="minorHAnsi" w:hAnsiTheme="minorHAnsi" w:cs="Arial"/>
          <w:color w:val="000000"/>
          <w:sz w:val="22"/>
          <w:szCs w:val="22"/>
        </w:rPr>
      </w:pPr>
      <w:r w:rsidRPr="00376B18">
        <w:rPr>
          <w:rStyle w:val="A5"/>
          <w:rFonts w:asciiTheme="minorHAnsi" w:hAnsiTheme="minorHAnsi"/>
          <w:sz w:val="22"/>
          <w:szCs w:val="22"/>
        </w:rPr>
        <w:t xml:space="preserve">Myth: </w:t>
      </w:r>
      <w:r w:rsidRPr="00376B18">
        <w:rPr>
          <w:rFonts w:asciiTheme="minorHAnsi" w:hAnsiTheme="minorHAnsi" w:cs="Arial"/>
          <w:b/>
          <w:bCs/>
          <w:i/>
          <w:iCs/>
          <w:color w:val="000000"/>
          <w:sz w:val="22"/>
          <w:szCs w:val="22"/>
        </w:rPr>
        <w:t xml:space="preserve">Workers with disabilities should be placed in roles where safety is less of an issue because they are more likely to have accidents. </w:t>
      </w:r>
    </w:p>
    <w:p w14:paraId="42711425" w14:textId="77777777" w:rsidR="00376B18" w:rsidRPr="00376B18" w:rsidRDefault="00376B18" w:rsidP="00376B18">
      <w:pPr>
        <w:pStyle w:val="Pa3"/>
        <w:spacing w:after="140"/>
        <w:rPr>
          <w:rFonts w:asciiTheme="minorHAnsi" w:hAnsiTheme="minorHAnsi" w:cs="MNYKDH+ArialMT"/>
          <w:color w:val="000000"/>
          <w:sz w:val="22"/>
          <w:szCs w:val="22"/>
        </w:rPr>
      </w:pPr>
      <w:r w:rsidRPr="00376B18">
        <w:rPr>
          <w:rStyle w:val="A5"/>
          <w:rFonts w:asciiTheme="minorHAnsi" w:hAnsiTheme="minorHAnsi"/>
          <w:sz w:val="22"/>
          <w:szCs w:val="22"/>
        </w:rPr>
        <w:t xml:space="preserve">Reality: </w:t>
      </w:r>
      <w:r w:rsidRPr="00376B18">
        <w:rPr>
          <w:rFonts w:asciiTheme="minorHAnsi" w:hAnsiTheme="minorHAnsi" w:cs="MNYKDH+ArialMT"/>
          <w:color w:val="000000"/>
          <w:sz w:val="22"/>
          <w:szCs w:val="22"/>
        </w:rPr>
        <w:t xml:space="preserve">Walgreens has two distribution centers with large disability workforces (+40 percent of employees) in Connecticut and South Carolina. In comparison to all other distribution </w:t>
      </w:r>
      <w:proofErr w:type="spellStart"/>
      <w:r w:rsidRPr="00376B18">
        <w:rPr>
          <w:rFonts w:asciiTheme="minorHAnsi" w:hAnsiTheme="minorHAnsi" w:cs="MNYKDH+ArialMT"/>
          <w:color w:val="000000"/>
          <w:sz w:val="22"/>
          <w:szCs w:val="22"/>
        </w:rPr>
        <w:t>centres</w:t>
      </w:r>
      <w:proofErr w:type="spellEnd"/>
      <w:r w:rsidRPr="00376B18">
        <w:rPr>
          <w:rFonts w:asciiTheme="minorHAnsi" w:hAnsiTheme="minorHAnsi" w:cs="MNYKDH+ArialMT"/>
          <w:color w:val="000000"/>
          <w:sz w:val="22"/>
          <w:szCs w:val="22"/>
        </w:rPr>
        <w:t xml:space="preserve"> in the company, these two had a 40 percent lower safety incident rate, 67 percent lower medical treatment costs, 63 percent lower employee time away from work due to accidents, and 78 percent lower overall costs associated with accidents.</w:t>
      </w:r>
      <w:r w:rsidRPr="00376B18">
        <w:rPr>
          <w:rStyle w:val="FootnoteReference"/>
          <w:rFonts w:asciiTheme="minorHAnsi" w:hAnsiTheme="minorHAnsi" w:cs="MNYKDH+ArialMT"/>
          <w:color w:val="000000"/>
          <w:sz w:val="22"/>
          <w:szCs w:val="22"/>
        </w:rPr>
        <w:footnoteReference w:id="2"/>
      </w:r>
      <w:r w:rsidRPr="00376B18">
        <w:rPr>
          <w:rStyle w:val="A8"/>
          <w:rFonts w:asciiTheme="minorHAnsi" w:hAnsiTheme="minorHAnsi"/>
          <w:sz w:val="22"/>
          <w:szCs w:val="22"/>
        </w:rPr>
        <w:t xml:space="preserve"> </w:t>
      </w:r>
      <w:r w:rsidRPr="00376B18">
        <w:rPr>
          <w:rFonts w:asciiTheme="minorHAnsi" w:hAnsiTheme="minorHAnsi" w:cs="MNYKDH+ArialMT"/>
          <w:color w:val="000000"/>
          <w:sz w:val="22"/>
          <w:szCs w:val="22"/>
        </w:rPr>
        <w:t xml:space="preserve">Tim Hortons franchisee </w:t>
      </w:r>
      <w:proofErr w:type="spellStart"/>
      <w:r w:rsidRPr="00376B18">
        <w:rPr>
          <w:rFonts w:asciiTheme="minorHAnsi" w:hAnsiTheme="minorHAnsi" w:cs="MNYKDH+ArialMT"/>
          <w:color w:val="000000"/>
          <w:sz w:val="22"/>
          <w:szCs w:val="22"/>
        </w:rPr>
        <w:t>Megleen</w:t>
      </w:r>
      <w:proofErr w:type="spellEnd"/>
      <w:r w:rsidRPr="00376B18">
        <w:rPr>
          <w:rFonts w:asciiTheme="minorHAnsi" w:hAnsiTheme="minorHAnsi" w:cs="MNYKDH+ArialMT"/>
          <w:color w:val="000000"/>
          <w:sz w:val="22"/>
          <w:szCs w:val="22"/>
        </w:rPr>
        <w:t xml:space="preserve"> Inc. has never made an insurance claim for a work-related injury to an employee with a disability despite employing 85 people with disabilities in 18 years.</w:t>
      </w:r>
      <w:r w:rsidRPr="00376B18">
        <w:rPr>
          <w:rStyle w:val="FootnoteReference"/>
          <w:rFonts w:asciiTheme="minorHAnsi" w:hAnsiTheme="minorHAnsi" w:cs="MNYKDH+ArialMT"/>
          <w:color w:val="000000"/>
          <w:sz w:val="22"/>
          <w:szCs w:val="22"/>
        </w:rPr>
        <w:footnoteReference w:id="3"/>
      </w:r>
      <w:r w:rsidRPr="00376B18">
        <w:rPr>
          <w:rStyle w:val="A8"/>
          <w:rFonts w:asciiTheme="minorHAnsi" w:hAnsiTheme="minorHAnsi"/>
          <w:sz w:val="22"/>
          <w:szCs w:val="22"/>
        </w:rPr>
        <w:t xml:space="preserve"> </w:t>
      </w:r>
    </w:p>
    <w:p w14:paraId="071EA4A4" w14:textId="77777777" w:rsidR="00376B18" w:rsidRPr="00376B18" w:rsidRDefault="00376B18" w:rsidP="00376B18">
      <w:pPr>
        <w:pStyle w:val="Pa3"/>
        <w:spacing w:after="140"/>
        <w:rPr>
          <w:rFonts w:asciiTheme="minorHAnsi" w:hAnsiTheme="minorHAnsi" w:cs="Arial"/>
          <w:color w:val="000000"/>
          <w:sz w:val="22"/>
          <w:szCs w:val="22"/>
        </w:rPr>
      </w:pPr>
      <w:r w:rsidRPr="00376B18">
        <w:rPr>
          <w:rStyle w:val="A5"/>
          <w:rFonts w:asciiTheme="minorHAnsi" w:hAnsiTheme="minorHAnsi"/>
          <w:sz w:val="22"/>
          <w:szCs w:val="22"/>
        </w:rPr>
        <w:t xml:space="preserve">Myth: </w:t>
      </w:r>
      <w:r w:rsidRPr="00376B18">
        <w:rPr>
          <w:rFonts w:asciiTheme="minorHAnsi" w:hAnsiTheme="minorHAnsi" w:cs="Arial"/>
          <w:b/>
          <w:bCs/>
          <w:i/>
          <w:iCs/>
          <w:color w:val="000000"/>
          <w:sz w:val="22"/>
          <w:szCs w:val="22"/>
        </w:rPr>
        <w:t xml:space="preserve">Workers with disabilities do not perform well and require extra supervision. </w:t>
      </w:r>
    </w:p>
    <w:p w14:paraId="3D9EC8D9" w14:textId="77777777" w:rsidR="00376B18" w:rsidRPr="00376B18" w:rsidRDefault="00376B18" w:rsidP="00376B18">
      <w:pPr>
        <w:pStyle w:val="Pa3"/>
        <w:spacing w:after="140"/>
        <w:rPr>
          <w:rFonts w:asciiTheme="minorHAnsi" w:hAnsiTheme="minorHAnsi" w:cs="MNYKDH+ArialMT"/>
          <w:color w:val="000000"/>
          <w:sz w:val="22"/>
          <w:szCs w:val="22"/>
        </w:rPr>
      </w:pPr>
      <w:r w:rsidRPr="00376B18">
        <w:rPr>
          <w:rStyle w:val="A5"/>
          <w:rFonts w:asciiTheme="minorHAnsi" w:hAnsiTheme="minorHAnsi"/>
          <w:sz w:val="22"/>
          <w:szCs w:val="22"/>
        </w:rPr>
        <w:t xml:space="preserve">Reality: </w:t>
      </w:r>
      <w:r w:rsidRPr="00376B18">
        <w:rPr>
          <w:rFonts w:asciiTheme="minorHAnsi" w:hAnsiTheme="minorHAnsi" w:cs="MNYKDH+ArialMT"/>
          <w:color w:val="000000"/>
          <w:sz w:val="22"/>
          <w:szCs w:val="22"/>
        </w:rPr>
        <w:t>A DuPont study</w:t>
      </w:r>
      <w:r w:rsidRPr="00376B18">
        <w:rPr>
          <w:rStyle w:val="FootnoteReference"/>
          <w:rFonts w:asciiTheme="minorHAnsi" w:hAnsiTheme="minorHAnsi" w:cs="MNYKDH+ArialMT"/>
          <w:color w:val="000000"/>
          <w:sz w:val="22"/>
          <w:szCs w:val="22"/>
        </w:rPr>
        <w:footnoteReference w:id="4"/>
      </w:r>
      <w:r w:rsidRPr="00376B18">
        <w:rPr>
          <w:rStyle w:val="A8"/>
          <w:rFonts w:asciiTheme="minorHAnsi" w:hAnsiTheme="minorHAnsi"/>
          <w:sz w:val="22"/>
          <w:szCs w:val="22"/>
        </w:rPr>
        <w:t xml:space="preserve"> </w:t>
      </w:r>
      <w:r w:rsidRPr="00376B18">
        <w:rPr>
          <w:rFonts w:asciiTheme="minorHAnsi" w:hAnsiTheme="minorHAnsi" w:cs="MNYKDH+ArialMT"/>
          <w:color w:val="000000"/>
          <w:sz w:val="22"/>
          <w:szCs w:val="22"/>
        </w:rPr>
        <w:t>showed that 90 percent of people with disabilities rated average or better on job performance. More recently, another study</w:t>
      </w:r>
      <w:r w:rsidRPr="00376B18">
        <w:rPr>
          <w:rStyle w:val="FootnoteReference"/>
          <w:rFonts w:asciiTheme="minorHAnsi" w:hAnsiTheme="minorHAnsi" w:cs="MNYKDH+ArialMT"/>
          <w:color w:val="000000"/>
          <w:sz w:val="22"/>
          <w:szCs w:val="22"/>
        </w:rPr>
        <w:footnoteReference w:id="5"/>
      </w:r>
      <w:r w:rsidRPr="00376B18">
        <w:rPr>
          <w:rStyle w:val="A8"/>
          <w:rFonts w:asciiTheme="minorHAnsi" w:hAnsiTheme="minorHAnsi"/>
          <w:sz w:val="22"/>
          <w:szCs w:val="22"/>
        </w:rPr>
        <w:t xml:space="preserve"> </w:t>
      </w:r>
      <w:r w:rsidRPr="00376B18">
        <w:rPr>
          <w:rFonts w:asciiTheme="minorHAnsi" w:hAnsiTheme="minorHAnsi" w:cs="MNYKDH+ArialMT"/>
          <w:color w:val="000000"/>
          <w:sz w:val="22"/>
          <w:szCs w:val="22"/>
        </w:rPr>
        <w:t xml:space="preserve">compared workers with and without disabilities in the hospitality, health care and retail sectors, and found that job performance and supervision were similar for both groups. </w:t>
      </w:r>
    </w:p>
    <w:p w14:paraId="0F8BF930" w14:textId="77777777" w:rsidR="00376B18" w:rsidRPr="00376B18" w:rsidRDefault="00376B18" w:rsidP="00376B18">
      <w:pPr>
        <w:pStyle w:val="Pa3"/>
        <w:spacing w:after="140"/>
        <w:rPr>
          <w:rFonts w:asciiTheme="minorHAnsi" w:hAnsiTheme="minorHAnsi" w:cs="Arial"/>
          <w:color w:val="000000"/>
          <w:sz w:val="22"/>
          <w:szCs w:val="22"/>
        </w:rPr>
      </w:pPr>
      <w:r w:rsidRPr="00376B18">
        <w:rPr>
          <w:rStyle w:val="A5"/>
          <w:rFonts w:asciiTheme="minorHAnsi" w:hAnsiTheme="minorHAnsi"/>
          <w:sz w:val="22"/>
          <w:szCs w:val="22"/>
        </w:rPr>
        <w:t xml:space="preserve">Myth: </w:t>
      </w:r>
      <w:r w:rsidRPr="00376B18">
        <w:rPr>
          <w:rFonts w:asciiTheme="minorHAnsi" w:hAnsiTheme="minorHAnsi" w:cs="Arial"/>
          <w:b/>
          <w:bCs/>
          <w:i/>
          <w:iCs/>
          <w:color w:val="000000"/>
          <w:sz w:val="22"/>
          <w:szCs w:val="22"/>
        </w:rPr>
        <w:t xml:space="preserve">The cost of accommodating a person with disabilities is prohibitive. </w:t>
      </w:r>
    </w:p>
    <w:p w14:paraId="07E35D70" w14:textId="77777777" w:rsidR="00374EA6" w:rsidRPr="00376B18" w:rsidRDefault="00376B18" w:rsidP="00376B18">
      <w:pPr>
        <w:rPr>
          <w:rFonts w:cs="MNYKDH+ArialMT"/>
          <w:color w:val="000000"/>
          <w:sz w:val="22"/>
          <w:szCs w:val="22"/>
        </w:rPr>
      </w:pPr>
      <w:r w:rsidRPr="00376B18">
        <w:rPr>
          <w:rStyle w:val="A5"/>
          <w:rFonts w:asciiTheme="minorHAnsi" w:hAnsiTheme="minorHAnsi"/>
          <w:sz w:val="22"/>
          <w:szCs w:val="22"/>
        </w:rPr>
        <w:t xml:space="preserve">Reality: </w:t>
      </w:r>
      <w:r w:rsidRPr="00376B18">
        <w:rPr>
          <w:rFonts w:cs="MNYKDH+ArialMT"/>
          <w:color w:val="000000"/>
          <w:sz w:val="22"/>
          <w:szCs w:val="22"/>
        </w:rPr>
        <w:t>In a widely accepted study conducted by the U.S. Job Accommodation Network (JAN)</w:t>
      </w:r>
      <w:r w:rsidRPr="00376B18">
        <w:rPr>
          <w:rStyle w:val="FootnoteReference"/>
          <w:rFonts w:cs="MNYKDH+ArialMT"/>
          <w:color w:val="000000"/>
          <w:sz w:val="22"/>
          <w:szCs w:val="22"/>
        </w:rPr>
        <w:footnoteReference w:id="6"/>
      </w:r>
      <w:r w:rsidRPr="00376B18">
        <w:rPr>
          <w:rFonts w:cs="MNYKDH+ArialMT"/>
          <w:color w:val="000000"/>
          <w:sz w:val="22"/>
          <w:szCs w:val="22"/>
        </w:rPr>
        <w:t>,</w:t>
      </w:r>
      <w:r w:rsidRPr="00376B18">
        <w:rPr>
          <w:rStyle w:val="A8"/>
          <w:rFonts w:asciiTheme="minorHAnsi" w:hAnsiTheme="minorHAnsi"/>
          <w:sz w:val="22"/>
          <w:szCs w:val="22"/>
        </w:rPr>
        <w:t xml:space="preserve"> </w:t>
      </w:r>
      <w:r w:rsidRPr="00376B18">
        <w:rPr>
          <w:rFonts w:cs="MNYKDH+ArialMT"/>
          <w:color w:val="000000"/>
          <w:sz w:val="22"/>
          <w:szCs w:val="22"/>
        </w:rPr>
        <w:t>workplace accommodations are shown to be low cost, with 57 percent of participants spending nothing at all. Of those accommodations that did have a cost, the typical one-time expenditure by employers was $500.</w:t>
      </w:r>
    </w:p>
    <w:p w14:paraId="3884519A" w14:textId="77777777" w:rsidR="00376B18" w:rsidRPr="00376B18" w:rsidRDefault="00376B18" w:rsidP="00376B18">
      <w:pPr>
        <w:rPr>
          <w:rFonts w:cs="MNYKDH+ArialMT"/>
          <w:color w:val="000000"/>
          <w:sz w:val="22"/>
          <w:szCs w:val="22"/>
        </w:rPr>
      </w:pPr>
    </w:p>
    <w:p w14:paraId="473B5876" w14:textId="77777777" w:rsidR="00376B18" w:rsidRPr="00376B18" w:rsidRDefault="00376B18" w:rsidP="00376B18">
      <w:pPr>
        <w:widowControl w:val="0"/>
        <w:autoSpaceDE w:val="0"/>
        <w:autoSpaceDN w:val="0"/>
        <w:adjustRightInd w:val="0"/>
        <w:spacing w:after="140" w:line="241" w:lineRule="atLeast"/>
        <w:rPr>
          <w:rFonts w:cs="Arial"/>
          <w:color w:val="000000"/>
          <w:sz w:val="22"/>
          <w:szCs w:val="22"/>
        </w:rPr>
      </w:pPr>
      <w:r w:rsidRPr="00376B18">
        <w:rPr>
          <w:rFonts w:cs="Arial"/>
          <w:b/>
          <w:bCs/>
          <w:color w:val="000000"/>
          <w:sz w:val="22"/>
          <w:szCs w:val="22"/>
        </w:rPr>
        <w:t xml:space="preserve">Myth: </w:t>
      </w:r>
      <w:r w:rsidRPr="00376B18">
        <w:rPr>
          <w:rFonts w:cs="Arial"/>
          <w:b/>
          <w:bCs/>
          <w:i/>
          <w:iCs/>
          <w:color w:val="000000"/>
          <w:sz w:val="22"/>
          <w:szCs w:val="22"/>
        </w:rPr>
        <w:t xml:space="preserve">Most people with disabilities use wheelchairs. </w:t>
      </w:r>
    </w:p>
    <w:p w14:paraId="4ABD86B3" w14:textId="77777777" w:rsidR="00376B18" w:rsidRPr="00376B18" w:rsidRDefault="00376B18" w:rsidP="00376B18">
      <w:pPr>
        <w:rPr>
          <w:sz w:val="22"/>
          <w:szCs w:val="22"/>
        </w:rPr>
      </w:pPr>
      <w:r w:rsidRPr="00376B18">
        <w:rPr>
          <w:rFonts w:cs="Arial"/>
          <w:b/>
          <w:bCs/>
          <w:color w:val="000000"/>
          <w:sz w:val="22"/>
          <w:szCs w:val="22"/>
        </w:rPr>
        <w:t xml:space="preserve">Reality: </w:t>
      </w:r>
      <w:r w:rsidRPr="00376B18">
        <w:rPr>
          <w:rFonts w:cs="MNYKDH+ArialMT"/>
          <w:color w:val="000000"/>
          <w:sz w:val="22"/>
          <w:szCs w:val="22"/>
        </w:rPr>
        <w:t>According to 2010 U.S. census information</w:t>
      </w:r>
      <w:r>
        <w:rPr>
          <w:rStyle w:val="FootnoteReference"/>
          <w:rFonts w:cs="MNYKDH+ArialMT"/>
          <w:color w:val="000000"/>
          <w:sz w:val="22"/>
          <w:szCs w:val="22"/>
        </w:rPr>
        <w:footnoteReference w:id="7"/>
      </w:r>
      <w:r w:rsidRPr="00376B18">
        <w:rPr>
          <w:rFonts w:cs="MNYKDH+ArialMT"/>
          <w:color w:val="000000"/>
          <w:sz w:val="22"/>
          <w:szCs w:val="22"/>
        </w:rPr>
        <w:t>, the wheelchair usage rate among people with disabilities is actually 6 percent – that’s about 1 percent of the general population. It is a strong indicator of the power of public communication that the wheelchair icon used on signage has prompted a general belief that most people with disabilities use wheelchairs.</w:t>
      </w:r>
    </w:p>
    <w:sectPr w:rsidR="00376B18" w:rsidRPr="00376B18" w:rsidSect="00884B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6FBED" w14:textId="77777777" w:rsidR="001A5C56" w:rsidRDefault="001A5C56" w:rsidP="00376B18">
      <w:r>
        <w:separator/>
      </w:r>
    </w:p>
  </w:endnote>
  <w:endnote w:type="continuationSeparator" w:id="0">
    <w:p w14:paraId="13DF6172" w14:textId="77777777" w:rsidR="001A5C56" w:rsidRDefault="001A5C56" w:rsidP="0037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hitney-Medium">
    <w:altName w:val="Whitney-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NYKDH+ArialMT">
    <w:altName w:val="MNYKDH+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4665" w14:textId="77777777" w:rsidR="001A5C56" w:rsidRDefault="001A5C56" w:rsidP="00376B18">
      <w:r>
        <w:separator/>
      </w:r>
    </w:p>
  </w:footnote>
  <w:footnote w:type="continuationSeparator" w:id="0">
    <w:p w14:paraId="13DE00AA" w14:textId="77777777" w:rsidR="001A5C56" w:rsidRDefault="001A5C56" w:rsidP="00376B18">
      <w:r>
        <w:continuationSeparator/>
      </w:r>
    </w:p>
  </w:footnote>
  <w:footnote w:id="1">
    <w:p w14:paraId="67F6A8BE" w14:textId="1959DB58" w:rsidR="007A22C9" w:rsidRPr="007A22C9" w:rsidRDefault="007A22C9">
      <w:pPr>
        <w:pStyle w:val="FootnoteText"/>
        <w:rPr>
          <w:sz w:val="18"/>
          <w:szCs w:val="18"/>
          <w:lang w:val="en-CA"/>
        </w:rPr>
      </w:pPr>
      <w:r w:rsidRPr="007A22C9">
        <w:rPr>
          <w:rStyle w:val="FootnoteReference"/>
          <w:sz w:val="18"/>
          <w:szCs w:val="18"/>
        </w:rPr>
        <w:footnoteRef/>
      </w:r>
      <w:r w:rsidRPr="007A22C9">
        <w:rPr>
          <w:sz w:val="18"/>
          <w:szCs w:val="18"/>
        </w:rPr>
        <w:t xml:space="preserve"> </w:t>
      </w:r>
      <w:r w:rsidRPr="007A22C9">
        <w:rPr>
          <w:sz w:val="18"/>
          <w:szCs w:val="18"/>
          <w:lang w:val="en-CA"/>
        </w:rPr>
        <w:t xml:space="preserve">From Dr. Gary Birch, Kenneth </w:t>
      </w:r>
      <w:proofErr w:type="spellStart"/>
      <w:r w:rsidRPr="007A22C9">
        <w:rPr>
          <w:sz w:val="18"/>
          <w:szCs w:val="18"/>
          <w:lang w:val="en-CA"/>
        </w:rPr>
        <w:t>Fredeen</w:t>
      </w:r>
      <w:proofErr w:type="spellEnd"/>
      <w:r w:rsidRPr="007A22C9">
        <w:rPr>
          <w:sz w:val="18"/>
          <w:szCs w:val="18"/>
          <w:lang w:val="en-CA"/>
        </w:rPr>
        <w:t>, Kathy Martin, and Mark Wafer, “Rethinking Disability in the Private Sector: Report from the Panel on Labour Market Opportunities for Persons with Disabilities,” (2013).</w:t>
      </w:r>
    </w:p>
  </w:footnote>
  <w:footnote w:id="2">
    <w:p w14:paraId="0ADBA33F" w14:textId="77777777" w:rsidR="00376B18" w:rsidRPr="00376B18" w:rsidRDefault="00376B18">
      <w:pPr>
        <w:pStyle w:val="FootnoteText"/>
        <w:rPr>
          <w:sz w:val="18"/>
          <w:szCs w:val="18"/>
          <w:lang w:val="en-CA"/>
        </w:rPr>
      </w:pPr>
      <w:r w:rsidRPr="00376B18">
        <w:rPr>
          <w:rStyle w:val="FootnoteReference"/>
          <w:sz w:val="18"/>
          <w:szCs w:val="18"/>
        </w:rPr>
        <w:footnoteRef/>
      </w:r>
      <w:r w:rsidRPr="00376B18">
        <w:rPr>
          <w:sz w:val="18"/>
          <w:szCs w:val="18"/>
        </w:rPr>
        <w:t xml:space="preserve"> </w:t>
      </w:r>
      <w:r w:rsidRPr="00376B18">
        <w:rPr>
          <w:rStyle w:val="A10"/>
          <w:sz w:val="18"/>
          <w:szCs w:val="18"/>
        </w:rPr>
        <w:t xml:space="preserve">James P. </w:t>
      </w:r>
      <w:proofErr w:type="spellStart"/>
      <w:r w:rsidRPr="00376B18">
        <w:rPr>
          <w:rStyle w:val="A10"/>
          <w:sz w:val="18"/>
          <w:szCs w:val="18"/>
        </w:rPr>
        <w:t>Kaletta</w:t>
      </w:r>
      <w:proofErr w:type="spellEnd"/>
      <w:r w:rsidRPr="00376B18">
        <w:rPr>
          <w:rStyle w:val="A10"/>
          <w:sz w:val="18"/>
          <w:szCs w:val="18"/>
        </w:rPr>
        <w:t xml:space="preserve">, Douglas J. </w:t>
      </w:r>
      <w:proofErr w:type="spellStart"/>
      <w:r w:rsidRPr="00376B18">
        <w:rPr>
          <w:rStyle w:val="A10"/>
          <w:sz w:val="18"/>
          <w:szCs w:val="18"/>
        </w:rPr>
        <w:t>Binks</w:t>
      </w:r>
      <w:proofErr w:type="spellEnd"/>
      <w:r w:rsidRPr="00376B18">
        <w:rPr>
          <w:rStyle w:val="A10"/>
          <w:sz w:val="18"/>
          <w:szCs w:val="18"/>
        </w:rPr>
        <w:t xml:space="preserve"> &amp; Richard Robinson</w:t>
      </w:r>
      <w:proofErr w:type="gramStart"/>
      <w:r w:rsidRPr="00376B18">
        <w:rPr>
          <w:rStyle w:val="A10"/>
          <w:sz w:val="18"/>
          <w:szCs w:val="18"/>
        </w:rPr>
        <w:t>, ”Creating</w:t>
      </w:r>
      <w:proofErr w:type="gramEnd"/>
      <w:r w:rsidRPr="00376B18">
        <w:rPr>
          <w:rStyle w:val="A10"/>
          <w:sz w:val="18"/>
          <w:szCs w:val="18"/>
        </w:rPr>
        <w:t xml:space="preserve"> and Inclusive Workplace: Integrating Employees with Disabilities into a Distribution Centre Environment,” Professional Safety, June 2012.</w:t>
      </w:r>
    </w:p>
  </w:footnote>
  <w:footnote w:id="3">
    <w:p w14:paraId="27125ED0" w14:textId="77777777" w:rsidR="00376B18" w:rsidRPr="00376B18" w:rsidRDefault="00376B18">
      <w:pPr>
        <w:pStyle w:val="FootnoteText"/>
        <w:rPr>
          <w:sz w:val="18"/>
          <w:szCs w:val="18"/>
          <w:lang w:val="en-CA"/>
        </w:rPr>
      </w:pPr>
      <w:r w:rsidRPr="00376B18">
        <w:rPr>
          <w:rStyle w:val="FootnoteReference"/>
          <w:sz w:val="18"/>
          <w:szCs w:val="18"/>
        </w:rPr>
        <w:footnoteRef/>
      </w:r>
      <w:r w:rsidRPr="00376B18">
        <w:rPr>
          <w:sz w:val="18"/>
          <w:szCs w:val="18"/>
        </w:rPr>
        <w:t xml:space="preserve"> </w:t>
      </w:r>
      <w:r w:rsidRPr="00376B18">
        <w:rPr>
          <w:rStyle w:val="A10"/>
          <w:sz w:val="18"/>
          <w:szCs w:val="18"/>
        </w:rPr>
        <w:t>Information provided by franchise owner.</w:t>
      </w:r>
    </w:p>
  </w:footnote>
  <w:footnote w:id="4">
    <w:p w14:paraId="06CC0A83" w14:textId="77777777" w:rsidR="00376B18" w:rsidRPr="00376B18" w:rsidRDefault="00376B18">
      <w:pPr>
        <w:pStyle w:val="FootnoteText"/>
        <w:rPr>
          <w:sz w:val="18"/>
          <w:szCs w:val="18"/>
          <w:lang w:val="en-CA"/>
        </w:rPr>
      </w:pPr>
      <w:r w:rsidRPr="00376B18">
        <w:rPr>
          <w:rStyle w:val="FootnoteReference"/>
          <w:sz w:val="18"/>
          <w:szCs w:val="18"/>
        </w:rPr>
        <w:footnoteRef/>
      </w:r>
      <w:r w:rsidRPr="00376B18">
        <w:rPr>
          <w:sz w:val="18"/>
          <w:szCs w:val="18"/>
        </w:rPr>
        <w:t xml:space="preserve"> </w:t>
      </w:r>
      <w:r w:rsidRPr="00376B18">
        <w:rPr>
          <w:rStyle w:val="A10"/>
          <w:sz w:val="18"/>
          <w:szCs w:val="18"/>
        </w:rPr>
        <w:t>DuPont/Australian Public Service Commission [APSC] “Ability at work: Tapping the talent of people with disability,” Canberra: Commonwealth of Australia, 2007.</w:t>
      </w:r>
    </w:p>
  </w:footnote>
  <w:footnote w:id="5">
    <w:p w14:paraId="5CBBF8DD" w14:textId="77777777" w:rsidR="00376B18" w:rsidRPr="00376B18" w:rsidRDefault="00376B18">
      <w:pPr>
        <w:pStyle w:val="FootnoteText"/>
        <w:rPr>
          <w:sz w:val="18"/>
          <w:szCs w:val="18"/>
          <w:lang w:val="en-CA"/>
        </w:rPr>
      </w:pPr>
      <w:r w:rsidRPr="00376B18">
        <w:rPr>
          <w:rStyle w:val="FootnoteReference"/>
          <w:sz w:val="18"/>
          <w:szCs w:val="18"/>
        </w:rPr>
        <w:footnoteRef/>
      </w:r>
      <w:r w:rsidRPr="00376B18">
        <w:rPr>
          <w:sz w:val="18"/>
          <w:szCs w:val="18"/>
        </w:rPr>
        <w:t xml:space="preserve"> </w:t>
      </w:r>
      <w:proofErr w:type="spellStart"/>
      <w:r w:rsidRPr="00376B18">
        <w:rPr>
          <w:rStyle w:val="A10"/>
          <w:sz w:val="18"/>
          <w:szCs w:val="18"/>
        </w:rPr>
        <w:t>Brigida</w:t>
      </w:r>
      <w:proofErr w:type="spellEnd"/>
      <w:r w:rsidRPr="00376B18">
        <w:rPr>
          <w:rStyle w:val="A10"/>
          <w:sz w:val="18"/>
          <w:szCs w:val="18"/>
        </w:rPr>
        <w:t xml:space="preserve"> Hernandez and Katherine MacDonald. “Disability Employment Research, Employer Focus Group Reports,” (accessed 13 Nov 2012) available from </w:t>
      </w:r>
      <w:r w:rsidRPr="00376B18">
        <w:rPr>
          <w:rStyle w:val="A11"/>
          <w:sz w:val="18"/>
          <w:szCs w:val="18"/>
        </w:rPr>
        <w:t>www.disabilityworks.org/default.asp?contentID=94.</w:t>
      </w:r>
    </w:p>
  </w:footnote>
  <w:footnote w:id="6">
    <w:p w14:paraId="324715BF" w14:textId="77777777" w:rsidR="00376B18" w:rsidRPr="00376B18" w:rsidRDefault="00376B18">
      <w:pPr>
        <w:pStyle w:val="FootnoteText"/>
        <w:rPr>
          <w:sz w:val="18"/>
          <w:szCs w:val="18"/>
          <w:lang w:val="en-CA"/>
        </w:rPr>
      </w:pPr>
      <w:r w:rsidRPr="00376B18">
        <w:rPr>
          <w:rStyle w:val="FootnoteReference"/>
          <w:sz w:val="18"/>
          <w:szCs w:val="18"/>
        </w:rPr>
        <w:footnoteRef/>
      </w:r>
      <w:r w:rsidRPr="00376B18">
        <w:rPr>
          <w:sz w:val="18"/>
          <w:szCs w:val="18"/>
        </w:rPr>
        <w:t xml:space="preserve"> </w:t>
      </w:r>
      <w:r w:rsidRPr="00376B18">
        <w:rPr>
          <w:rStyle w:val="A10"/>
          <w:sz w:val="18"/>
          <w:szCs w:val="18"/>
        </w:rPr>
        <w:t xml:space="preserve">Beth Loy, “Accommodation and Compliance Series Workplace Accommodations: Low Cost, High Impact,” (accessed 24 October 2012); available from </w:t>
      </w:r>
      <w:r w:rsidRPr="00376B18">
        <w:rPr>
          <w:rStyle w:val="A11"/>
          <w:sz w:val="18"/>
          <w:szCs w:val="18"/>
        </w:rPr>
        <w:t>http://askjan.org/media/lowcosthighimpact.html</w:t>
      </w:r>
    </w:p>
  </w:footnote>
  <w:footnote w:id="7">
    <w:p w14:paraId="6C1A0398" w14:textId="77777777" w:rsidR="00376B18" w:rsidRPr="00376B18" w:rsidRDefault="00376B18">
      <w:pPr>
        <w:pStyle w:val="FootnoteText"/>
        <w:rPr>
          <w:lang w:val="en-CA"/>
        </w:rPr>
      </w:pPr>
      <w:r w:rsidRPr="00376B18">
        <w:rPr>
          <w:rStyle w:val="FootnoteReference"/>
          <w:sz w:val="18"/>
          <w:szCs w:val="18"/>
        </w:rPr>
        <w:footnoteRef/>
      </w:r>
      <w:r w:rsidRPr="00376B18">
        <w:rPr>
          <w:sz w:val="18"/>
          <w:szCs w:val="18"/>
        </w:rPr>
        <w:t xml:space="preserve"> </w:t>
      </w:r>
      <w:r w:rsidRPr="00376B18">
        <w:rPr>
          <w:rStyle w:val="A10"/>
          <w:sz w:val="18"/>
          <w:szCs w:val="18"/>
        </w:rPr>
        <w:t xml:space="preserve">United States Census Bureau (accessed 07 Nov 2012); available from </w:t>
      </w:r>
      <w:r w:rsidRPr="00376B18">
        <w:rPr>
          <w:rStyle w:val="A11"/>
          <w:sz w:val="18"/>
          <w:szCs w:val="18"/>
        </w:rPr>
        <w:t>www.census.gov/newsroom/ releases/archives/facts_for_features_special_editions/cb10-ff13.htm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18"/>
    <w:rsid w:val="001A5C56"/>
    <w:rsid w:val="002926C8"/>
    <w:rsid w:val="00374EA6"/>
    <w:rsid w:val="00376B18"/>
    <w:rsid w:val="007A22C9"/>
    <w:rsid w:val="00884BA0"/>
    <w:rsid w:val="00C63A6F"/>
    <w:rsid w:val="00D1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D0D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376B18"/>
    <w:pPr>
      <w:widowControl w:val="0"/>
      <w:autoSpaceDE w:val="0"/>
      <w:autoSpaceDN w:val="0"/>
      <w:adjustRightInd w:val="0"/>
      <w:spacing w:line="241" w:lineRule="atLeast"/>
    </w:pPr>
    <w:rPr>
      <w:rFonts w:ascii="Whitney-Medium" w:hAnsi="Whitney-Medium"/>
    </w:rPr>
  </w:style>
  <w:style w:type="character" w:customStyle="1" w:styleId="A5">
    <w:name w:val="A5"/>
    <w:uiPriority w:val="99"/>
    <w:rsid w:val="00376B18"/>
    <w:rPr>
      <w:rFonts w:ascii="Arial" w:hAnsi="Arial" w:cs="Arial"/>
      <w:b/>
      <w:bCs/>
      <w:color w:val="000000"/>
      <w:sz w:val="25"/>
      <w:szCs w:val="25"/>
    </w:rPr>
  </w:style>
  <w:style w:type="character" w:customStyle="1" w:styleId="A8">
    <w:name w:val="A8"/>
    <w:uiPriority w:val="99"/>
    <w:rsid w:val="00376B18"/>
    <w:rPr>
      <w:rFonts w:ascii="MNYKDH+ArialMT" w:hAnsi="MNYKDH+ArialMT" w:cs="MNYKDH+ArialMT"/>
      <w:color w:val="000000"/>
      <w:sz w:val="14"/>
      <w:szCs w:val="14"/>
    </w:rPr>
  </w:style>
  <w:style w:type="paragraph" w:styleId="FootnoteText">
    <w:name w:val="footnote text"/>
    <w:basedOn w:val="Normal"/>
    <w:link w:val="FootnoteTextChar"/>
    <w:uiPriority w:val="99"/>
    <w:unhideWhenUsed/>
    <w:rsid w:val="00376B18"/>
  </w:style>
  <w:style w:type="character" w:customStyle="1" w:styleId="FootnoteTextChar">
    <w:name w:val="Footnote Text Char"/>
    <w:basedOn w:val="DefaultParagraphFont"/>
    <w:link w:val="FootnoteText"/>
    <w:uiPriority w:val="99"/>
    <w:rsid w:val="00376B18"/>
  </w:style>
  <w:style w:type="character" w:styleId="FootnoteReference">
    <w:name w:val="footnote reference"/>
    <w:basedOn w:val="DefaultParagraphFont"/>
    <w:uiPriority w:val="99"/>
    <w:unhideWhenUsed/>
    <w:rsid w:val="00376B18"/>
    <w:rPr>
      <w:vertAlign w:val="superscript"/>
    </w:rPr>
  </w:style>
  <w:style w:type="character" w:customStyle="1" w:styleId="A10">
    <w:name w:val="A10"/>
    <w:uiPriority w:val="99"/>
    <w:rsid w:val="00376B18"/>
    <w:rPr>
      <w:rFonts w:cs="MNYKDH+ArialMT"/>
      <w:color w:val="000000"/>
      <w:sz w:val="21"/>
      <w:szCs w:val="21"/>
    </w:rPr>
  </w:style>
  <w:style w:type="character" w:customStyle="1" w:styleId="A11">
    <w:name w:val="A11"/>
    <w:uiPriority w:val="99"/>
    <w:rsid w:val="00376B18"/>
    <w:rPr>
      <w:rFonts w:cs="MNYKDH+ArialMT"/>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7D891B-BADD-BE4F-AC7B-15FCA0AD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374</Words>
  <Characters>2133</Characters>
  <Application>Microsoft Macintosh Word</Application>
  <DocSecurity>0</DocSecurity>
  <Lines>17</Lines>
  <Paragraphs>5</Paragraphs>
  <ScaleCrop>false</ScaleCrop>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Rowlson</dc:creator>
  <cp:keywords/>
  <dc:description/>
  <cp:lastModifiedBy>Alex Rowlson</cp:lastModifiedBy>
  <cp:revision>3</cp:revision>
  <cp:lastPrinted>2016-09-02T17:50:00Z</cp:lastPrinted>
  <dcterms:created xsi:type="dcterms:W3CDTF">2016-08-22T19:08:00Z</dcterms:created>
  <dcterms:modified xsi:type="dcterms:W3CDTF">2016-09-02T17:51:00Z</dcterms:modified>
</cp:coreProperties>
</file>