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6B18" w:rsidRPr="00376B18" w:rsidRDefault="00156A3E" w:rsidP="00376B18">
      <w:pPr>
        <w:pStyle w:val="Pa3"/>
        <w:spacing w:after="140"/>
        <w:rPr>
          <w:rFonts w:asciiTheme="minorHAnsi" w:hAnsiTheme="minorHAnsi" w:cs="Whitney-Medium"/>
          <w:b/>
          <w:color w:val="000000"/>
          <w:sz w:val="28"/>
          <w:szCs w:val="28"/>
        </w:rPr>
      </w:pPr>
      <w:bookmarkStart w:id="0" w:name="_GoBack"/>
      <w:bookmarkEnd w:id="0"/>
      <w:r>
        <w:rPr>
          <w:rFonts w:ascii="Calibri" w:eastAsia="Calibri" w:hAnsi="Calibri" w:cs="Calibri"/>
          <w:b/>
          <w:color w:val="000000"/>
          <w:sz w:val="28"/>
          <w:szCs w:val="28"/>
          <w:bdr w:val="nil"/>
          <w:lang w:val="fr-CA"/>
        </w:rPr>
        <w:t>Dissiper les mythes</w:t>
      </w:r>
      <w:r w:rsidR="00397ADA">
        <w:rPr>
          <w:rStyle w:val="FootnoteReference"/>
          <w:rFonts w:asciiTheme="minorHAnsi" w:hAnsiTheme="minorHAnsi" w:cs="Whitney-Medium"/>
          <w:b/>
          <w:color w:val="000000"/>
          <w:sz w:val="28"/>
          <w:szCs w:val="28"/>
        </w:rPr>
        <w:footnoteReference w:id="1"/>
      </w:r>
    </w:p>
    <w:p w:rsidR="00376B18" w:rsidRPr="00156A3E" w:rsidRDefault="00397ADA" w:rsidP="00376B18">
      <w:pPr>
        <w:pStyle w:val="Pa3"/>
        <w:spacing w:after="140"/>
        <w:rPr>
          <w:rFonts w:asciiTheme="minorHAnsi" w:hAnsiTheme="minorHAnsi" w:cs="MNYKDH+ArialMT"/>
          <w:color w:val="000000"/>
          <w:sz w:val="22"/>
          <w:szCs w:val="22"/>
          <w:lang w:val="fr-CA"/>
        </w:rPr>
      </w:pPr>
      <w:r>
        <w:rPr>
          <w:rFonts w:ascii="Calibri" w:eastAsia="Calibri" w:hAnsi="Calibri" w:cs="Calibri"/>
          <w:color w:val="000000"/>
          <w:sz w:val="22"/>
          <w:szCs w:val="22"/>
          <w:bdr w:val="nil"/>
          <w:lang w:val="fr-CA"/>
        </w:rPr>
        <w:t xml:space="preserve">Un autre obstacle perçu était celui de trouver un équilibre entre les accommodements sur les lieux de travail et les normes de santé et de sécurité. De façon générale, les entreprises jugeaient préférable d'instaurer des accommodements dans le cas de postes administratifs et de service à la clientèle plutôt que dans le cadre d'emplois nécessitant un effort physique. On croyait également que l'embauche de personnes handicapées pourrait s'accompagner d'obligations juridiques liées aux droits de la personne ainsi qu'en matière de rendement et de discipline. Ces perceptions comptent parmi les mythes les plus répandus concernant les handicapés. </w:t>
      </w:r>
    </w:p>
    <w:p w:rsidR="00376B18" w:rsidRPr="00156A3E" w:rsidRDefault="00397ADA" w:rsidP="00376B18">
      <w:pPr>
        <w:pStyle w:val="Pa3"/>
        <w:spacing w:after="140"/>
        <w:rPr>
          <w:rFonts w:asciiTheme="minorHAnsi" w:hAnsiTheme="minorHAnsi" w:cs="Arial"/>
          <w:color w:val="000000"/>
          <w:sz w:val="22"/>
          <w:szCs w:val="22"/>
          <w:lang w:val="fr-CA"/>
        </w:rPr>
      </w:pPr>
      <w:r>
        <w:rPr>
          <w:rStyle w:val="A5"/>
          <w:rFonts w:ascii="Calibri" w:eastAsia="Calibri" w:hAnsi="Calibri" w:cs="Calibri"/>
          <w:sz w:val="22"/>
          <w:szCs w:val="22"/>
          <w:bdr w:val="nil"/>
          <w:lang w:val="fr-CA"/>
        </w:rPr>
        <w:t xml:space="preserve">Mythe </w:t>
      </w:r>
      <w:r>
        <w:rPr>
          <w:rStyle w:val="A5"/>
          <w:rFonts w:ascii="Calibri" w:eastAsia="Calibri" w:hAnsi="Calibri" w:cs="Calibri"/>
          <w:b w:val="0"/>
          <w:sz w:val="22"/>
          <w:szCs w:val="22"/>
          <w:bdr w:val="nil"/>
          <w:lang w:val="fr-CA"/>
        </w:rPr>
        <w:t>–</w:t>
      </w:r>
      <w:r>
        <w:rPr>
          <w:rStyle w:val="A5"/>
          <w:rFonts w:ascii="Calibri" w:eastAsia="Calibri" w:hAnsi="Calibri" w:cs="Calibri"/>
          <w:sz w:val="22"/>
          <w:szCs w:val="22"/>
          <w:bdr w:val="nil"/>
          <w:lang w:val="fr-CA"/>
        </w:rPr>
        <w:t xml:space="preserve"> </w:t>
      </w:r>
      <w:r>
        <w:rPr>
          <w:rStyle w:val="A5"/>
          <w:rFonts w:ascii="Calibri" w:eastAsia="Calibri" w:hAnsi="Calibri" w:cs="Calibri"/>
          <w:i/>
          <w:sz w:val="22"/>
          <w:szCs w:val="22"/>
          <w:bdr w:val="nil"/>
          <w:lang w:val="fr-CA"/>
        </w:rPr>
        <w:t>Comme les travailleurs handicapés sont plus prédisposés aux accidents, il faut leur confier des tâches où les questions de sécurité sont moins importantes.</w:t>
      </w:r>
    </w:p>
    <w:p w:rsidR="00376B18" w:rsidRPr="00156A3E" w:rsidRDefault="00397ADA" w:rsidP="00376B18">
      <w:pPr>
        <w:pStyle w:val="Pa3"/>
        <w:spacing w:after="140"/>
        <w:rPr>
          <w:rFonts w:asciiTheme="minorHAnsi" w:hAnsiTheme="minorHAnsi" w:cs="MNYKDH+ArialMT"/>
          <w:color w:val="000000"/>
          <w:sz w:val="22"/>
          <w:szCs w:val="22"/>
          <w:lang w:val="fr-CA"/>
        </w:rPr>
      </w:pPr>
      <w:r>
        <w:rPr>
          <w:rStyle w:val="A5"/>
          <w:rFonts w:ascii="Calibri" w:eastAsia="Calibri" w:hAnsi="Calibri" w:cs="Calibri"/>
          <w:sz w:val="22"/>
          <w:szCs w:val="22"/>
          <w:bdr w:val="nil"/>
          <w:lang w:val="fr-CA"/>
        </w:rPr>
        <w:t xml:space="preserve">Réalité </w:t>
      </w:r>
      <w:r>
        <w:rPr>
          <w:rStyle w:val="A5"/>
          <w:rFonts w:ascii="Calibri" w:eastAsia="Calibri" w:hAnsi="Calibri" w:cs="Calibri"/>
          <w:b w:val="0"/>
          <w:sz w:val="22"/>
          <w:szCs w:val="22"/>
          <w:bdr w:val="nil"/>
          <w:lang w:val="fr-CA"/>
        </w:rPr>
        <w:t>–</w:t>
      </w:r>
      <w:r>
        <w:rPr>
          <w:rStyle w:val="A5"/>
          <w:rFonts w:ascii="Calibri" w:eastAsia="Calibri" w:hAnsi="Calibri" w:cs="Calibri"/>
          <w:sz w:val="22"/>
          <w:szCs w:val="22"/>
          <w:bdr w:val="nil"/>
          <w:lang w:val="fr-CA"/>
        </w:rPr>
        <w:t xml:space="preserve"> </w:t>
      </w:r>
      <w:r>
        <w:rPr>
          <w:rStyle w:val="A5"/>
          <w:rFonts w:ascii="Calibri" w:eastAsia="Calibri" w:hAnsi="Calibri" w:cs="Calibri"/>
          <w:b w:val="0"/>
          <w:sz w:val="22"/>
          <w:szCs w:val="22"/>
          <w:bdr w:val="nil"/>
          <w:lang w:val="fr-CA"/>
        </w:rPr>
        <w:t>Au Connecticut et en Caroline du Sud, Walgreens possède deux centres de distribution dont les effectifs touchés par une invalidité sont importants (+40 pour cent des employés). Pourtant, si on les compare aux autres centres de distribution de cette compagnie, ces deux centres ont un taux d'incident inférieur de 40 pour cent en matière de sécurité; les frais de traitement médical sont inférieurs de 67 pour cent; l'absentéisme par suite d'un accident est inférieur dans une proportion de 63 pour cent; pour ce qui est de l'ensemble des coûts relatifs à un incident, il</w:t>
      </w:r>
      <w:r w:rsidR="00156A3E">
        <w:rPr>
          <w:rStyle w:val="A5"/>
          <w:rFonts w:ascii="Calibri" w:eastAsia="Calibri" w:hAnsi="Calibri" w:cs="Calibri"/>
          <w:b w:val="0"/>
          <w:sz w:val="22"/>
          <w:szCs w:val="22"/>
          <w:bdr w:val="nil"/>
          <w:lang w:val="fr-CA"/>
        </w:rPr>
        <w:t xml:space="preserve"> est inférieur de 78 pour cent.</w:t>
      </w:r>
      <w:r>
        <w:rPr>
          <w:rStyle w:val="FootnoteReference"/>
          <w:rFonts w:asciiTheme="minorHAnsi" w:hAnsiTheme="minorHAnsi" w:cs="MNYKDH+ArialMT"/>
          <w:color w:val="000000"/>
          <w:sz w:val="22"/>
          <w:szCs w:val="22"/>
        </w:rPr>
        <w:footnoteReference w:id="2"/>
      </w:r>
      <w:r w:rsidR="00156A3E">
        <w:rPr>
          <w:rStyle w:val="A5"/>
          <w:rFonts w:ascii="Calibri" w:eastAsia="Calibri" w:hAnsi="Calibri" w:cs="Calibri"/>
          <w:b w:val="0"/>
          <w:sz w:val="22"/>
          <w:szCs w:val="22"/>
          <w:bdr w:val="nil"/>
          <w:lang w:val="fr-CA"/>
        </w:rPr>
        <w:t xml:space="preserve"> </w:t>
      </w:r>
      <w:r>
        <w:rPr>
          <w:rStyle w:val="A5"/>
          <w:rFonts w:ascii="Calibri" w:eastAsia="Calibri" w:hAnsi="Calibri" w:cs="Calibri"/>
          <w:b w:val="0"/>
          <w:sz w:val="22"/>
          <w:szCs w:val="22"/>
          <w:bdr w:val="nil"/>
          <w:lang w:val="fr-CA"/>
        </w:rPr>
        <w:t xml:space="preserve">En 18 ans d'exploitation, </w:t>
      </w:r>
      <w:proofErr w:type="spellStart"/>
      <w:r>
        <w:rPr>
          <w:rStyle w:val="A5"/>
          <w:rFonts w:ascii="Calibri" w:eastAsia="Calibri" w:hAnsi="Calibri" w:cs="Calibri"/>
          <w:b w:val="0"/>
          <w:sz w:val="22"/>
          <w:szCs w:val="22"/>
          <w:bdr w:val="nil"/>
          <w:lang w:val="fr-CA"/>
        </w:rPr>
        <w:t>Megleen</w:t>
      </w:r>
      <w:proofErr w:type="spellEnd"/>
      <w:r>
        <w:rPr>
          <w:rStyle w:val="A5"/>
          <w:rFonts w:ascii="Calibri" w:eastAsia="Calibri" w:hAnsi="Calibri" w:cs="Calibri"/>
          <w:b w:val="0"/>
          <w:sz w:val="22"/>
          <w:szCs w:val="22"/>
          <w:bdr w:val="nil"/>
          <w:lang w:val="fr-CA"/>
        </w:rPr>
        <w:t xml:space="preserve"> </w:t>
      </w:r>
      <w:proofErr w:type="spellStart"/>
      <w:r>
        <w:rPr>
          <w:rStyle w:val="A5"/>
          <w:rFonts w:ascii="Calibri" w:eastAsia="Calibri" w:hAnsi="Calibri" w:cs="Calibri"/>
          <w:b w:val="0"/>
          <w:sz w:val="22"/>
          <w:szCs w:val="22"/>
          <w:bdr w:val="nil"/>
          <w:lang w:val="fr-CA"/>
        </w:rPr>
        <w:t>inc.</w:t>
      </w:r>
      <w:proofErr w:type="spellEnd"/>
      <w:r>
        <w:rPr>
          <w:rStyle w:val="A5"/>
          <w:rFonts w:ascii="Calibri" w:eastAsia="Calibri" w:hAnsi="Calibri" w:cs="Calibri"/>
          <w:b w:val="0"/>
          <w:sz w:val="22"/>
          <w:szCs w:val="22"/>
          <w:bdr w:val="nil"/>
          <w:lang w:val="fr-CA"/>
        </w:rPr>
        <w:t>, franchisé de Tim Hortons, n'a jamais eu à soumettre une seule demande d'indemnisation pour des blessures liées au travail dans le cas d'un employé handicapé, même si le nombre de ce type d'employés se chiffre à 85.</w:t>
      </w:r>
      <w:r>
        <w:rPr>
          <w:rStyle w:val="FootnoteReference"/>
          <w:rFonts w:asciiTheme="minorHAnsi" w:hAnsiTheme="minorHAnsi" w:cs="MNYKDH+ArialMT"/>
          <w:color w:val="000000"/>
          <w:sz w:val="22"/>
          <w:szCs w:val="22"/>
        </w:rPr>
        <w:footnoteReference w:id="3"/>
      </w:r>
    </w:p>
    <w:p w:rsidR="00376B18" w:rsidRPr="00156A3E" w:rsidRDefault="00397ADA" w:rsidP="00376B18">
      <w:pPr>
        <w:pStyle w:val="Pa3"/>
        <w:spacing w:after="140"/>
        <w:rPr>
          <w:rFonts w:asciiTheme="minorHAnsi" w:hAnsiTheme="minorHAnsi" w:cs="Arial"/>
          <w:color w:val="000000"/>
          <w:sz w:val="22"/>
          <w:szCs w:val="22"/>
          <w:lang w:val="fr-CA"/>
        </w:rPr>
      </w:pPr>
      <w:r>
        <w:rPr>
          <w:rStyle w:val="A5"/>
          <w:rFonts w:ascii="Calibri" w:eastAsia="Calibri" w:hAnsi="Calibri" w:cs="Calibri"/>
          <w:sz w:val="22"/>
          <w:szCs w:val="22"/>
          <w:bdr w:val="nil"/>
          <w:lang w:val="fr-CA"/>
        </w:rPr>
        <w:t xml:space="preserve">Mythe </w:t>
      </w:r>
      <w:r>
        <w:rPr>
          <w:rStyle w:val="A5"/>
          <w:rFonts w:ascii="Calibri" w:eastAsia="Calibri" w:hAnsi="Calibri" w:cs="Calibri"/>
          <w:b w:val="0"/>
          <w:sz w:val="22"/>
          <w:szCs w:val="22"/>
          <w:bdr w:val="nil"/>
          <w:lang w:val="fr-CA"/>
        </w:rPr>
        <w:t>–</w:t>
      </w:r>
      <w:r>
        <w:rPr>
          <w:rStyle w:val="A5"/>
          <w:rFonts w:ascii="Calibri" w:eastAsia="Calibri" w:hAnsi="Calibri" w:cs="Calibri"/>
          <w:i/>
          <w:sz w:val="22"/>
          <w:szCs w:val="22"/>
          <w:bdr w:val="nil"/>
          <w:lang w:val="fr-CA"/>
        </w:rPr>
        <w:t xml:space="preserve"> Le rendement d'un travailleur handicapé laisse à désirer et nécessite une plus grande surveillance.</w:t>
      </w:r>
    </w:p>
    <w:p w:rsidR="00376B18" w:rsidRPr="00156A3E" w:rsidRDefault="00397ADA" w:rsidP="00376B18">
      <w:pPr>
        <w:pStyle w:val="Pa3"/>
        <w:spacing w:after="140"/>
        <w:rPr>
          <w:rFonts w:asciiTheme="minorHAnsi" w:hAnsiTheme="minorHAnsi" w:cs="MNYKDH+ArialMT"/>
          <w:color w:val="000000"/>
          <w:sz w:val="22"/>
          <w:szCs w:val="22"/>
          <w:lang w:val="fr-CA"/>
        </w:rPr>
      </w:pPr>
      <w:r>
        <w:rPr>
          <w:rStyle w:val="A5"/>
          <w:rFonts w:ascii="Calibri" w:eastAsia="Calibri" w:hAnsi="Calibri" w:cs="Calibri"/>
          <w:sz w:val="22"/>
          <w:szCs w:val="22"/>
          <w:bdr w:val="nil"/>
          <w:lang w:val="fr-CA"/>
        </w:rPr>
        <w:t xml:space="preserve">Réalité </w:t>
      </w:r>
      <w:r w:rsidR="00156A3E">
        <w:rPr>
          <w:rStyle w:val="A5"/>
          <w:rFonts w:ascii="Calibri" w:eastAsia="Calibri" w:hAnsi="Calibri" w:cs="Calibri"/>
          <w:b w:val="0"/>
          <w:sz w:val="22"/>
          <w:szCs w:val="22"/>
          <w:bdr w:val="nil"/>
          <w:lang w:val="fr-CA"/>
        </w:rPr>
        <w:t xml:space="preserve">– Selon une étude de </w:t>
      </w:r>
      <w:proofErr w:type="spellStart"/>
      <w:r w:rsidR="00156A3E">
        <w:rPr>
          <w:rStyle w:val="A5"/>
          <w:rFonts w:ascii="Calibri" w:eastAsia="Calibri" w:hAnsi="Calibri" w:cs="Calibri"/>
          <w:b w:val="0"/>
          <w:sz w:val="22"/>
          <w:szCs w:val="22"/>
          <w:bdr w:val="nil"/>
          <w:lang w:val="fr-CA"/>
        </w:rPr>
        <w:t>DuPont</w:t>
      </w:r>
      <w:proofErr w:type="spellEnd"/>
      <w:r>
        <w:rPr>
          <w:rStyle w:val="FootnoteReference"/>
          <w:rFonts w:asciiTheme="minorHAnsi" w:hAnsiTheme="minorHAnsi" w:cs="MNYKDH+ArialMT"/>
          <w:color w:val="000000"/>
          <w:sz w:val="22"/>
          <w:szCs w:val="22"/>
        </w:rPr>
        <w:footnoteReference w:id="4"/>
      </w:r>
      <w:r w:rsidR="00156A3E" w:rsidRPr="00156A3E">
        <w:rPr>
          <w:rStyle w:val="A5"/>
          <w:rFonts w:ascii="Calibri" w:eastAsia="Calibri" w:hAnsi="Calibri" w:cs="Calibri"/>
          <w:b w:val="0"/>
          <w:sz w:val="22"/>
          <w:szCs w:val="22"/>
          <w:bdr w:val="nil"/>
          <w:lang w:val="fr-CA"/>
        </w:rPr>
        <w:t>,</w:t>
      </w:r>
      <w:r>
        <w:rPr>
          <w:rStyle w:val="A5"/>
          <w:rFonts w:ascii="Calibri" w:eastAsia="Calibri" w:hAnsi="Calibri" w:cs="Calibri"/>
          <w:b w:val="0"/>
          <w:sz w:val="22"/>
          <w:szCs w:val="22"/>
          <w:bdr w:val="nil"/>
          <w:lang w:val="fr-CA"/>
        </w:rPr>
        <w:t xml:space="preserve"> 90 pour cent des personnes souffrant d'un handicap se classe</w:t>
      </w:r>
      <w:r w:rsidR="008823F9">
        <w:rPr>
          <w:rStyle w:val="A5"/>
          <w:rFonts w:ascii="Calibri" w:eastAsia="Calibri" w:hAnsi="Calibri" w:cs="Calibri"/>
          <w:b w:val="0"/>
          <w:sz w:val="22"/>
          <w:szCs w:val="22"/>
          <w:bdr w:val="nil"/>
          <w:lang w:val="fr-CA"/>
        </w:rPr>
        <w:t>nt</w:t>
      </w:r>
      <w:r>
        <w:rPr>
          <w:rStyle w:val="A5"/>
          <w:rFonts w:ascii="Calibri" w:eastAsia="Calibri" w:hAnsi="Calibri" w:cs="Calibri"/>
          <w:b w:val="0"/>
          <w:sz w:val="22"/>
          <w:szCs w:val="22"/>
          <w:bdr w:val="nil"/>
          <w:lang w:val="fr-CA"/>
        </w:rPr>
        <w:t xml:space="preserve"> dans la moyenne ou ont un rendement supérieur au travail. Plus récemment, une autre étude</w:t>
      </w:r>
      <w:r>
        <w:rPr>
          <w:rStyle w:val="FootnoteReference"/>
          <w:rFonts w:asciiTheme="minorHAnsi" w:hAnsiTheme="minorHAnsi" w:cs="MNYKDH+ArialMT"/>
          <w:color w:val="000000"/>
          <w:sz w:val="22"/>
          <w:szCs w:val="22"/>
        </w:rPr>
        <w:footnoteReference w:id="5"/>
      </w:r>
      <w:r>
        <w:rPr>
          <w:rStyle w:val="A5"/>
          <w:rFonts w:ascii="Calibri" w:eastAsia="Calibri" w:hAnsi="Calibri" w:cs="Calibri"/>
          <w:b w:val="0"/>
          <w:sz w:val="22"/>
          <w:szCs w:val="22"/>
          <w:bdr w:val="nil"/>
          <w:lang w:val="fr-CA"/>
        </w:rPr>
        <w:t xml:space="preserve"> a comparé les travailleurs ayant un handicap à ceux qui n'en avaient pas dans les secteurs de l'hospitalité, des soins de santé et de la vente au </w:t>
      </w:r>
      <w:proofErr w:type="gramStart"/>
      <w:r>
        <w:rPr>
          <w:rStyle w:val="A5"/>
          <w:rFonts w:ascii="Calibri" w:eastAsia="Calibri" w:hAnsi="Calibri" w:cs="Calibri"/>
          <w:b w:val="0"/>
          <w:sz w:val="22"/>
          <w:szCs w:val="22"/>
          <w:bdr w:val="nil"/>
          <w:lang w:val="fr-CA"/>
        </w:rPr>
        <w:t>détail;</w:t>
      </w:r>
      <w:proofErr w:type="gramEnd"/>
      <w:r>
        <w:rPr>
          <w:rStyle w:val="A5"/>
          <w:rFonts w:ascii="Calibri" w:eastAsia="Calibri" w:hAnsi="Calibri" w:cs="Calibri"/>
          <w:b w:val="0"/>
          <w:sz w:val="22"/>
          <w:szCs w:val="22"/>
          <w:bdr w:val="nil"/>
          <w:lang w:val="fr-CA"/>
        </w:rPr>
        <w:t xml:space="preserve"> il fut constaté que le rendement au travail et le degré de supervision nécessaire étaient comparables pour les deux groupes.</w:t>
      </w:r>
    </w:p>
    <w:p w:rsidR="00376B18" w:rsidRPr="00156A3E" w:rsidRDefault="00397ADA" w:rsidP="00376B18">
      <w:pPr>
        <w:pStyle w:val="Pa3"/>
        <w:spacing w:after="140"/>
        <w:rPr>
          <w:rFonts w:asciiTheme="minorHAnsi" w:hAnsiTheme="minorHAnsi" w:cs="Arial"/>
          <w:color w:val="000000"/>
          <w:sz w:val="22"/>
          <w:szCs w:val="22"/>
          <w:lang w:val="fr-CA"/>
        </w:rPr>
      </w:pPr>
      <w:r>
        <w:rPr>
          <w:rStyle w:val="A5"/>
          <w:rFonts w:ascii="Calibri" w:eastAsia="Calibri" w:hAnsi="Calibri" w:cs="Calibri"/>
          <w:sz w:val="22"/>
          <w:szCs w:val="22"/>
          <w:bdr w:val="nil"/>
          <w:lang w:val="fr-CA"/>
        </w:rPr>
        <w:t xml:space="preserve">Mythe </w:t>
      </w:r>
      <w:r>
        <w:rPr>
          <w:rStyle w:val="A5"/>
          <w:rFonts w:ascii="Calibri" w:eastAsia="Calibri" w:hAnsi="Calibri" w:cs="Calibri"/>
          <w:b w:val="0"/>
          <w:sz w:val="22"/>
          <w:szCs w:val="22"/>
          <w:bdr w:val="nil"/>
          <w:lang w:val="fr-CA"/>
        </w:rPr>
        <w:t>–</w:t>
      </w:r>
      <w:r>
        <w:rPr>
          <w:rStyle w:val="A5"/>
          <w:rFonts w:ascii="Calibri" w:eastAsia="Calibri" w:hAnsi="Calibri" w:cs="Calibri"/>
          <w:i/>
          <w:sz w:val="22"/>
          <w:szCs w:val="22"/>
          <w:bdr w:val="nil"/>
          <w:lang w:val="fr-CA"/>
        </w:rPr>
        <w:t xml:space="preserve"> Les coûts en cause pour accommoder une personne handicapée </w:t>
      </w:r>
      <w:r w:rsidR="008823F9">
        <w:rPr>
          <w:rStyle w:val="A5"/>
          <w:rFonts w:ascii="Calibri" w:eastAsia="Calibri" w:hAnsi="Calibri" w:cs="Calibri"/>
          <w:i/>
          <w:sz w:val="22"/>
          <w:szCs w:val="22"/>
          <w:bdr w:val="nil"/>
          <w:lang w:val="fr-CA"/>
        </w:rPr>
        <w:t>son</w:t>
      </w:r>
      <w:r>
        <w:rPr>
          <w:rStyle w:val="A5"/>
          <w:rFonts w:ascii="Calibri" w:eastAsia="Calibri" w:hAnsi="Calibri" w:cs="Calibri"/>
          <w:i/>
          <w:sz w:val="22"/>
          <w:szCs w:val="22"/>
          <w:bdr w:val="nil"/>
          <w:lang w:val="fr-CA"/>
        </w:rPr>
        <w:t>t prohibitif</w:t>
      </w:r>
      <w:r w:rsidR="008823F9">
        <w:rPr>
          <w:rStyle w:val="A5"/>
          <w:rFonts w:ascii="Calibri" w:eastAsia="Calibri" w:hAnsi="Calibri" w:cs="Calibri"/>
          <w:i/>
          <w:sz w:val="22"/>
          <w:szCs w:val="22"/>
          <w:bdr w:val="nil"/>
          <w:lang w:val="fr-CA"/>
        </w:rPr>
        <w:t>s</w:t>
      </w:r>
      <w:r>
        <w:rPr>
          <w:rStyle w:val="A5"/>
          <w:rFonts w:ascii="Calibri" w:eastAsia="Calibri" w:hAnsi="Calibri" w:cs="Calibri"/>
          <w:i/>
          <w:sz w:val="22"/>
          <w:szCs w:val="22"/>
          <w:bdr w:val="nil"/>
          <w:lang w:val="fr-CA"/>
        </w:rPr>
        <w:t xml:space="preserve">. </w:t>
      </w:r>
    </w:p>
    <w:p w:rsidR="00374EA6" w:rsidRPr="00156A3E" w:rsidRDefault="00397ADA" w:rsidP="00376B18">
      <w:pPr>
        <w:rPr>
          <w:rFonts w:cs="MNYKDH+ArialMT"/>
          <w:color w:val="000000"/>
          <w:sz w:val="22"/>
          <w:szCs w:val="22"/>
          <w:lang w:val="fr-CA"/>
        </w:rPr>
      </w:pPr>
      <w:r>
        <w:rPr>
          <w:rStyle w:val="A5"/>
          <w:rFonts w:ascii="Calibri" w:eastAsia="Calibri" w:hAnsi="Calibri" w:cs="Calibri"/>
          <w:sz w:val="22"/>
          <w:szCs w:val="22"/>
          <w:bdr w:val="nil"/>
          <w:lang w:val="fr-CA"/>
        </w:rPr>
        <w:t xml:space="preserve">Réalité </w:t>
      </w:r>
      <w:r>
        <w:rPr>
          <w:rStyle w:val="A5"/>
          <w:rFonts w:ascii="Calibri" w:eastAsia="Calibri" w:hAnsi="Calibri" w:cs="Calibri"/>
          <w:b w:val="0"/>
          <w:sz w:val="22"/>
          <w:szCs w:val="22"/>
          <w:bdr w:val="nil"/>
          <w:lang w:val="fr-CA"/>
        </w:rPr>
        <w:t>–</w:t>
      </w:r>
      <w:r>
        <w:rPr>
          <w:rStyle w:val="A5"/>
          <w:rFonts w:ascii="Calibri" w:eastAsia="Calibri" w:hAnsi="Calibri" w:cs="Calibri"/>
          <w:sz w:val="22"/>
          <w:szCs w:val="22"/>
          <w:bdr w:val="nil"/>
          <w:lang w:val="fr-CA"/>
        </w:rPr>
        <w:t xml:space="preserve"> </w:t>
      </w:r>
      <w:r>
        <w:rPr>
          <w:rStyle w:val="A5"/>
          <w:rFonts w:ascii="Calibri" w:eastAsia="Calibri" w:hAnsi="Calibri" w:cs="Calibri"/>
          <w:b w:val="0"/>
          <w:sz w:val="22"/>
          <w:szCs w:val="22"/>
          <w:bdr w:val="nil"/>
          <w:lang w:val="fr-CA"/>
        </w:rPr>
        <w:t>Une étude largement acceptée effectuée par l'organisme américain JAN (Job Accommodation Network)</w:t>
      </w:r>
      <w:r>
        <w:rPr>
          <w:rStyle w:val="FootnoteReference"/>
          <w:rFonts w:cs="MNYKDH+ArialMT"/>
          <w:color w:val="000000"/>
          <w:sz w:val="22"/>
          <w:szCs w:val="22"/>
        </w:rPr>
        <w:footnoteReference w:id="6"/>
      </w:r>
      <w:r>
        <w:rPr>
          <w:rStyle w:val="A5"/>
          <w:rFonts w:ascii="Calibri" w:eastAsia="Calibri" w:hAnsi="Calibri" w:cs="Calibri"/>
          <w:b w:val="0"/>
          <w:sz w:val="22"/>
          <w:szCs w:val="22"/>
          <w:bdr w:val="nil"/>
          <w:lang w:val="fr-CA"/>
        </w:rPr>
        <w:t xml:space="preserve"> a démontré le faible coût relié aux accommodements en milieu de travail; on y note même </w:t>
      </w:r>
      <w:r>
        <w:rPr>
          <w:rStyle w:val="A5"/>
          <w:rFonts w:ascii="Calibri" w:eastAsia="Calibri" w:hAnsi="Calibri" w:cs="Calibri"/>
          <w:b w:val="0"/>
          <w:sz w:val="22"/>
          <w:szCs w:val="22"/>
          <w:bdr w:val="nil"/>
          <w:lang w:val="fr-CA"/>
        </w:rPr>
        <w:lastRenderedPageBreak/>
        <w:t>que 57 pour cent des participants n'ont rien déboursé en ce sens. Quant aux accommodements nécessitant une dépense, le montant ponctuel versé par les employeurs se chiffrait à 500 $.</w:t>
      </w:r>
    </w:p>
    <w:p w:rsidR="00376B18" w:rsidRPr="00156A3E" w:rsidRDefault="00B407AF" w:rsidP="00376B18">
      <w:pPr>
        <w:rPr>
          <w:rFonts w:cs="MNYKDH+ArialMT"/>
          <w:color w:val="000000"/>
          <w:sz w:val="22"/>
          <w:szCs w:val="22"/>
          <w:lang w:val="fr-CA"/>
        </w:rPr>
      </w:pPr>
    </w:p>
    <w:p w:rsidR="00376B18" w:rsidRPr="00156A3E" w:rsidRDefault="00397ADA" w:rsidP="00376B18">
      <w:pPr>
        <w:widowControl w:val="0"/>
        <w:autoSpaceDE w:val="0"/>
        <w:autoSpaceDN w:val="0"/>
        <w:adjustRightInd w:val="0"/>
        <w:spacing w:after="140" w:line="241" w:lineRule="atLeast"/>
        <w:rPr>
          <w:rFonts w:cs="Arial"/>
          <w:color w:val="000000"/>
          <w:sz w:val="22"/>
          <w:szCs w:val="22"/>
          <w:lang w:val="fr-CA"/>
        </w:rPr>
      </w:pPr>
      <w:r>
        <w:rPr>
          <w:rFonts w:ascii="Calibri" w:eastAsia="Calibri" w:hAnsi="Calibri" w:cs="Calibri"/>
          <w:b/>
          <w:bCs/>
          <w:color w:val="000000"/>
          <w:sz w:val="22"/>
          <w:szCs w:val="22"/>
          <w:bdr w:val="nil"/>
          <w:lang w:val="fr-CA"/>
        </w:rPr>
        <w:t xml:space="preserve">Mythe </w:t>
      </w:r>
      <w:r>
        <w:rPr>
          <w:rFonts w:ascii="Calibri" w:eastAsia="Calibri" w:hAnsi="Calibri" w:cs="Calibri"/>
          <w:bCs/>
          <w:color w:val="000000"/>
          <w:sz w:val="22"/>
          <w:szCs w:val="22"/>
          <w:bdr w:val="nil"/>
          <w:lang w:val="fr-CA"/>
        </w:rPr>
        <w:t>–</w:t>
      </w:r>
      <w:r>
        <w:rPr>
          <w:rFonts w:ascii="Calibri" w:eastAsia="Calibri" w:hAnsi="Calibri" w:cs="Calibri"/>
          <w:b/>
          <w:bCs/>
          <w:i/>
          <w:color w:val="000000"/>
          <w:sz w:val="22"/>
          <w:szCs w:val="22"/>
          <w:bdr w:val="nil"/>
          <w:lang w:val="fr-CA"/>
        </w:rPr>
        <w:t xml:space="preserve"> La plupart des personnes handicapées se déplacent en fauteuil roulant. </w:t>
      </w:r>
    </w:p>
    <w:p w:rsidR="00376B18" w:rsidRPr="00156A3E" w:rsidRDefault="00397ADA" w:rsidP="00376B18">
      <w:pPr>
        <w:rPr>
          <w:sz w:val="22"/>
          <w:szCs w:val="22"/>
          <w:lang w:val="fr-CA"/>
        </w:rPr>
      </w:pPr>
      <w:r>
        <w:rPr>
          <w:rFonts w:ascii="Calibri" w:eastAsia="Calibri" w:hAnsi="Calibri" w:cs="Calibri"/>
          <w:b/>
          <w:bCs/>
          <w:color w:val="000000"/>
          <w:sz w:val="22"/>
          <w:szCs w:val="22"/>
          <w:bdr w:val="nil"/>
          <w:lang w:val="fr-CA"/>
        </w:rPr>
        <w:t xml:space="preserve">Réalité </w:t>
      </w:r>
      <w:r>
        <w:rPr>
          <w:rFonts w:ascii="Calibri" w:eastAsia="Calibri" w:hAnsi="Calibri" w:cs="Calibri"/>
          <w:bCs/>
          <w:color w:val="000000"/>
          <w:sz w:val="22"/>
          <w:szCs w:val="22"/>
          <w:bdr w:val="nil"/>
          <w:lang w:val="fr-CA"/>
        </w:rPr>
        <w:t>–</w:t>
      </w:r>
      <w:r>
        <w:rPr>
          <w:rFonts w:ascii="Calibri" w:eastAsia="Calibri" w:hAnsi="Calibri" w:cs="Calibri"/>
          <w:b/>
          <w:bCs/>
          <w:color w:val="000000"/>
          <w:sz w:val="22"/>
          <w:szCs w:val="22"/>
          <w:bdr w:val="nil"/>
          <w:lang w:val="fr-CA"/>
        </w:rPr>
        <w:t xml:space="preserve"> </w:t>
      </w:r>
      <w:r>
        <w:rPr>
          <w:rFonts w:ascii="Calibri" w:eastAsia="Calibri" w:hAnsi="Calibri" w:cs="Calibri"/>
          <w:bCs/>
          <w:color w:val="000000"/>
          <w:sz w:val="22"/>
          <w:szCs w:val="22"/>
          <w:bdr w:val="nil"/>
          <w:lang w:val="fr-CA"/>
        </w:rPr>
        <w:t xml:space="preserve"> Selon le recensement de 2010 aux États-Unis</w:t>
      </w:r>
      <w:r>
        <w:rPr>
          <w:rStyle w:val="FootnoteReference"/>
          <w:rFonts w:cs="MNYKDH+ArialMT"/>
          <w:color w:val="000000"/>
          <w:sz w:val="22"/>
          <w:szCs w:val="22"/>
        </w:rPr>
        <w:footnoteReference w:id="7"/>
      </w:r>
      <w:r>
        <w:rPr>
          <w:rFonts w:ascii="Calibri" w:eastAsia="Calibri" w:hAnsi="Calibri" w:cs="Calibri"/>
          <w:bCs/>
          <w:color w:val="000000"/>
          <w:sz w:val="22"/>
          <w:szCs w:val="22"/>
          <w:bdr w:val="nil"/>
          <w:lang w:val="fr-CA"/>
        </w:rPr>
        <w:t>, l'utilisation du fauteuil roulant chez les personnes handicapées est de 6 pour cent, ce qui correspond à environ 1 pour cent de l'ensemble de la population. On peut y voir la puissance des moyens de communication publique, car c'est l'icône du fauteuil roulant utilisé sur les panneaux d'affichage qui a incité les gens à croire que la plupart des personnes handicapées se déplacent en fauteuil roulant.</w:t>
      </w:r>
    </w:p>
    <w:sectPr w:rsidR="00376B18" w:rsidRPr="00156A3E" w:rsidSect="00884BA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07AF" w:rsidRDefault="00B407AF">
      <w:r>
        <w:separator/>
      </w:r>
    </w:p>
  </w:endnote>
  <w:endnote w:type="continuationSeparator" w:id="0">
    <w:p w:rsidR="00B407AF" w:rsidRDefault="00B40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hitney-Medium">
    <w:altName w:val="Whitney-Medium"/>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NYKDH+ArialMT">
    <w:altName w:val="MNYKDH+Arial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0A16" w:rsidRDefault="00460A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0A16" w:rsidRDefault="00460A1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0A16" w:rsidRDefault="00460A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07AF" w:rsidRDefault="00B407AF" w:rsidP="00376B18">
      <w:r>
        <w:separator/>
      </w:r>
    </w:p>
  </w:footnote>
  <w:footnote w:type="continuationSeparator" w:id="0">
    <w:p w:rsidR="00B407AF" w:rsidRDefault="00B407AF" w:rsidP="00376B18">
      <w:r>
        <w:continuationSeparator/>
      </w:r>
    </w:p>
  </w:footnote>
  <w:footnote w:id="1">
    <w:p w:rsidR="007A22C9" w:rsidRPr="00156A3E" w:rsidRDefault="00397ADA">
      <w:pPr>
        <w:pStyle w:val="FootnoteText"/>
        <w:rPr>
          <w:sz w:val="18"/>
          <w:szCs w:val="18"/>
          <w:lang w:val="fr-CA"/>
        </w:rPr>
      </w:pPr>
      <w:r w:rsidRPr="007A22C9">
        <w:rPr>
          <w:rStyle w:val="FootnoteReference"/>
          <w:sz w:val="18"/>
          <w:szCs w:val="18"/>
        </w:rPr>
        <w:footnoteRef/>
      </w:r>
      <w:r>
        <w:rPr>
          <w:rFonts w:ascii="Calibri" w:eastAsia="Calibri" w:hAnsi="Calibri" w:cs="Calibri"/>
          <w:sz w:val="18"/>
          <w:szCs w:val="18"/>
          <w:bdr w:val="nil"/>
          <w:lang w:val="fr-CA"/>
        </w:rPr>
        <w:t>Tiré du document intitulé « Rethinking Disability in the Private Sector: Report from the Panel on Labour Market Opportunities for Persons with Disabilities » (Nouvelle réflexion sur les handicaps dans le secteur privé : rapport du groupe d'experts sur les occasions d'emploi pour les personnes handicapées) par le Dr Gary Birch, Kenneth Fredeen, Kathy Martin et Mark Wafer. (2013).</w:t>
      </w:r>
    </w:p>
  </w:footnote>
  <w:footnote w:id="2">
    <w:p w:rsidR="00376B18" w:rsidRPr="00156A3E" w:rsidRDefault="00397ADA">
      <w:pPr>
        <w:pStyle w:val="FootnoteText"/>
        <w:rPr>
          <w:sz w:val="18"/>
          <w:szCs w:val="18"/>
          <w:lang w:val="fr-CA"/>
        </w:rPr>
      </w:pPr>
      <w:r w:rsidRPr="00376B18">
        <w:rPr>
          <w:rStyle w:val="FootnoteReference"/>
          <w:sz w:val="18"/>
          <w:szCs w:val="18"/>
        </w:rPr>
        <w:footnoteRef/>
      </w:r>
      <w:r>
        <w:rPr>
          <w:rFonts w:ascii="Calibri" w:eastAsia="Calibri" w:hAnsi="Calibri" w:cs="Calibri"/>
          <w:color w:val="000000"/>
          <w:sz w:val="18"/>
          <w:szCs w:val="18"/>
          <w:bdr w:val="nil"/>
          <w:lang w:val="fr-CA"/>
        </w:rPr>
        <w:t xml:space="preserve"> James P. Kaletta, Douglas J. Binks &amp; Richard Robinson, « Creating an Inclusive Workplace: Integrating Employees with Disabilities into a Distribution Centre Environment » (Création d'un milieu de travail inclusif : intégration des employés handicapés dans un centre de distribution), Sécurité au travail, juin 2012.</w:t>
      </w:r>
    </w:p>
  </w:footnote>
  <w:footnote w:id="3">
    <w:p w:rsidR="00376B18" w:rsidRPr="00156A3E" w:rsidRDefault="00397ADA">
      <w:pPr>
        <w:pStyle w:val="FootnoteText"/>
        <w:rPr>
          <w:sz w:val="18"/>
          <w:szCs w:val="18"/>
          <w:lang w:val="fr-CA"/>
        </w:rPr>
      </w:pPr>
      <w:r w:rsidRPr="00376B18">
        <w:rPr>
          <w:rStyle w:val="FootnoteReference"/>
          <w:sz w:val="18"/>
          <w:szCs w:val="18"/>
        </w:rPr>
        <w:footnoteRef/>
      </w:r>
      <w:r>
        <w:rPr>
          <w:rFonts w:ascii="Calibri" w:eastAsia="Calibri" w:hAnsi="Calibri" w:cs="Calibri"/>
          <w:color w:val="000000"/>
          <w:sz w:val="18"/>
          <w:szCs w:val="18"/>
          <w:bdr w:val="nil"/>
          <w:lang w:val="fr-CA"/>
        </w:rPr>
        <w:t>Renseignements fournis par le franchisé.</w:t>
      </w:r>
    </w:p>
  </w:footnote>
  <w:footnote w:id="4">
    <w:p w:rsidR="00376B18" w:rsidRPr="00156A3E" w:rsidRDefault="00397ADA">
      <w:pPr>
        <w:pStyle w:val="FootnoteText"/>
        <w:rPr>
          <w:sz w:val="18"/>
          <w:szCs w:val="18"/>
          <w:lang w:val="fr-CA"/>
        </w:rPr>
      </w:pPr>
      <w:r w:rsidRPr="00376B18">
        <w:rPr>
          <w:rStyle w:val="FootnoteReference"/>
          <w:sz w:val="18"/>
          <w:szCs w:val="18"/>
        </w:rPr>
        <w:footnoteRef/>
      </w:r>
      <w:proofErr w:type="spellStart"/>
      <w:r>
        <w:rPr>
          <w:rFonts w:ascii="Calibri" w:eastAsia="Calibri" w:hAnsi="Calibri" w:cs="Calibri"/>
          <w:color w:val="000000"/>
          <w:sz w:val="18"/>
          <w:szCs w:val="18"/>
          <w:bdr w:val="nil"/>
          <w:lang w:val="fr-CA"/>
        </w:rPr>
        <w:t>DuPont</w:t>
      </w:r>
      <w:proofErr w:type="spellEnd"/>
      <w:r>
        <w:rPr>
          <w:rFonts w:ascii="Calibri" w:eastAsia="Calibri" w:hAnsi="Calibri" w:cs="Calibri"/>
          <w:color w:val="000000"/>
          <w:sz w:val="18"/>
          <w:szCs w:val="18"/>
          <w:bdr w:val="nil"/>
          <w:lang w:val="fr-CA"/>
        </w:rPr>
        <w:t xml:space="preserve">/APSC [Commission de la fonction publique australienne] « Ability at work: Tapping the talent of people with disability » (Aptitude au travail : utilisation du talent des personnes handicapées, Canberra : Commonwealth d'Australie 2007. </w:t>
      </w:r>
    </w:p>
  </w:footnote>
  <w:footnote w:id="5">
    <w:p w:rsidR="00376B18" w:rsidRPr="00156A3E" w:rsidRDefault="00397ADA">
      <w:pPr>
        <w:pStyle w:val="FootnoteText"/>
        <w:rPr>
          <w:sz w:val="18"/>
          <w:szCs w:val="18"/>
          <w:lang w:val="fr-CA"/>
        </w:rPr>
      </w:pPr>
      <w:r w:rsidRPr="00376B18">
        <w:rPr>
          <w:rStyle w:val="FootnoteReference"/>
          <w:sz w:val="18"/>
          <w:szCs w:val="18"/>
        </w:rPr>
        <w:footnoteRef/>
      </w:r>
      <w:proofErr w:type="spellStart"/>
      <w:r>
        <w:rPr>
          <w:rFonts w:ascii="Calibri" w:eastAsia="Calibri" w:hAnsi="Calibri" w:cs="Calibri"/>
          <w:color w:val="000000"/>
          <w:sz w:val="18"/>
          <w:szCs w:val="18"/>
          <w:bdr w:val="nil"/>
          <w:lang w:val="fr-CA"/>
        </w:rPr>
        <w:t>Brigida</w:t>
      </w:r>
      <w:proofErr w:type="spellEnd"/>
      <w:r>
        <w:rPr>
          <w:rFonts w:ascii="Calibri" w:eastAsia="Calibri" w:hAnsi="Calibri" w:cs="Calibri"/>
          <w:color w:val="000000"/>
          <w:sz w:val="18"/>
          <w:szCs w:val="18"/>
          <w:bdr w:val="nil"/>
          <w:lang w:val="fr-CA"/>
        </w:rPr>
        <w:t xml:space="preserve"> Hernandez et Katherine MacDonald. « Disability Employment Research, Employer Focus Group Reports » (Recherche sur l'emploi des personnes handicapées, rapports du groupe de consultation de l'employeur) [consulté le 13 novembre 2012] disponible à partir de l'adresse </w:t>
      </w:r>
      <w:r>
        <w:rPr>
          <w:rFonts w:ascii="Calibri" w:eastAsia="Calibri" w:hAnsi="Calibri" w:cs="Calibri"/>
          <w:color w:val="000000"/>
          <w:sz w:val="18"/>
          <w:szCs w:val="18"/>
          <w:u w:val="single"/>
          <w:bdr w:val="nil"/>
          <w:lang w:val="fr-CA"/>
        </w:rPr>
        <w:t>www.disabilityworks.org/default.asp?contentID=94.</w:t>
      </w:r>
    </w:p>
  </w:footnote>
  <w:footnote w:id="6">
    <w:p w:rsidR="00376B18" w:rsidRPr="00156A3E" w:rsidRDefault="00397ADA">
      <w:pPr>
        <w:pStyle w:val="FootnoteText"/>
        <w:rPr>
          <w:sz w:val="18"/>
          <w:szCs w:val="18"/>
          <w:lang w:val="fr-CA"/>
        </w:rPr>
      </w:pPr>
      <w:r w:rsidRPr="00376B18">
        <w:rPr>
          <w:rStyle w:val="FootnoteReference"/>
          <w:sz w:val="18"/>
          <w:szCs w:val="18"/>
        </w:rPr>
        <w:footnoteRef/>
      </w:r>
      <w:r>
        <w:rPr>
          <w:rFonts w:ascii="Calibri" w:eastAsia="Calibri" w:hAnsi="Calibri" w:cs="Calibri"/>
          <w:color w:val="000000"/>
          <w:sz w:val="18"/>
          <w:szCs w:val="18"/>
          <w:bdr w:val="nil"/>
          <w:lang w:val="fr-CA"/>
        </w:rPr>
        <w:t xml:space="preserve"> Beth </w:t>
      </w:r>
      <w:proofErr w:type="spellStart"/>
      <w:r>
        <w:rPr>
          <w:rFonts w:ascii="Calibri" w:eastAsia="Calibri" w:hAnsi="Calibri" w:cs="Calibri"/>
          <w:color w:val="000000"/>
          <w:sz w:val="18"/>
          <w:szCs w:val="18"/>
          <w:bdr w:val="nil"/>
          <w:lang w:val="fr-CA"/>
        </w:rPr>
        <w:t>Loy</w:t>
      </w:r>
      <w:proofErr w:type="spellEnd"/>
      <w:r>
        <w:rPr>
          <w:rFonts w:ascii="Calibri" w:eastAsia="Calibri" w:hAnsi="Calibri" w:cs="Calibri"/>
          <w:color w:val="000000"/>
          <w:sz w:val="18"/>
          <w:szCs w:val="18"/>
          <w:bdr w:val="nil"/>
          <w:lang w:val="fr-CA"/>
        </w:rPr>
        <w:t xml:space="preserve">, « Accommodation and Compliance </w:t>
      </w:r>
      <w:proofErr w:type="spellStart"/>
      <w:r>
        <w:rPr>
          <w:rFonts w:ascii="Calibri" w:eastAsia="Calibri" w:hAnsi="Calibri" w:cs="Calibri"/>
          <w:color w:val="000000"/>
          <w:sz w:val="18"/>
          <w:szCs w:val="18"/>
          <w:bdr w:val="nil"/>
          <w:lang w:val="fr-CA"/>
        </w:rPr>
        <w:t>Series</w:t>
      </w:r>
      <w:proofErr w:type="spellEnd"/>
      <w:r>
        <w:rPr>
          <w:rFonts w:ascii="Calibri" w:eastAsia="Calibri" w:hAnsi="Calibri" w:cs="Calibri"/>
          <w:color w:val="000000"/>
          <w:sz w:val="18"/>
          <w:szCs w:val="18"/>
          <w:bdr w:val="nil"/>
          <w:lang w:val="fr-CA"/>
        </w:rPr>
        <w:t xml:space="preserve"> </w:t>
      </w:r>
      <w:proofErr w:type="spellStart"/>
      <w:r>
        <w:rPr>
          <w:rFonts w:ascii="Calibri" w:eastAsia="Calibri" w:hAnsi="Calibri" w:cs="Calibri"/>
          <w:color w:val="000000"/>
          <w:sz w:val="18"/>
          <w:szCs w:val="18"/>
          <w:bdr w:val="nil"/>
          <w:lang w:val="fr-CA"/>
        </w:rPr>
        <w:t>Workplace</w:t>
      </w:r>
      <w:proofErr w:type="spellEnd"/>
      <w:r>
        <w:rPr>
          <w:rFonts w:ascii="Calibri" w:eastAsia="Calibri" w:hAnsi="Calibri" w:cs="Calibri"/>
          <w:color w:val="000000"/>
          <w:sz w:val="18"/>
          <w:szCs w:val="18"/>
          <w:bdr w:val="nil"/>
          <w:lang w:val="fr-CA"/>
        </w:rPr>
        <w:t xml:space="preserve"> </w:t>
      </w:r>
      <w:proofErr w:type="gramStart"/>
      <w:r>
        <w:rPr>
          <w:rFonts w:ascii="Calibri" w:eastAsia="Calibri" w:hAnsi="Calibri" w:cs="Calibri"/>
          <w:color w:val="000000"/>
          <w:sz w:val="18"/>
          <w:szCs w:val="18"/>
          <w:bdr w:val="nil"/>
          <w:lang w:val="fr-CA"/>
        </w:rPr>
        <w:t>Accommodations:</w:t>
      </w:r>
      <w:proofErr w:type="gramEnd"/>
      <w:r>
        <w:rPr>
          <w:rFonts w:ascii="Calibri" w:eastAsia="Calibri" w:hAnsi="Calibri" w:cs="Calibri"/>
          <w:color w:val="000000"/>
          <w:sz w:val="18"/>
          <w:szCs w:val="18"/>
          <w:bdr w:val="nil"/>
          <w:lang w:val="fr-CA"/>
        </w:rPr>
        <w:t xml:space="preserve"> </w:t>
      </w:r>
      <w:proofErr w:type="spellStart"/>
      <w:r>
        <w:rPr>
          <w:rFonts w:ascii="Calibri" w:eastAsia="Calibri" w:hAnsi="Calibri" w:cs="Calibri"/>
          <w:color w:val="000000"/>
          <w:sz w:val="18"/>
          <w:szCs w:val="18"/>
          <w:bdr w:val="nil"/>
          <w:lang w:val="fr-CA"/>
        </w:rPr>
        <w:t>Low</w:t>
      </w:r>
      <w:proofErr w:type="spellEnd"/>
      <w:r>
        <w:rPr>
          <w:rFonts w:ascii="Calibri" w:eastAsia="Calibri" w:hAnsi="Calibri" w:cs="Calibri"/>
          <w:color w:val="000000"/>
          <w:sz w:val="18"/>
          <w:szCs w:val="18"/>
          <w:bdr w:val="nil"/>
          <w:lang w:val="fr-CA"/>
        </w:rPr>
        <w:t xml:space="preserve"> </w:t>
      </w:r>
      <w:proofErr w:type="spellStart"/>
      <w:r>
        <w:rPr>
          <w:rFonts w:ascii="Calibri" w:eastAsia="Calibri" w:hAnsi="Calibri" w:cs="Calibri"/>
          <w:color w:val="000000"/>
          <w:sz w:val="18"/>
          <w:szCs w:val="18"/>
          <w:bdr w:val="nil"/>
          <w:lang w:val="fr-CA"/>
        </w:rPr>
        <w:t>Cost</w:t>
      </w:r>
      <w:proofErr w:type="spellEnd"/>
      <w:r>
        <w:rPr>
          <w:rFonts w:ascii="Calibri" w:eastAsia="Calibri" w:hAnsi="Calibri" w:cs="Calibri"/>
          <w:color w:val="000000"/>
          <w:sz w:val="18"/>
          <w:szCs w:val="18"/>
          <w:bdr w:val="nil"/>
          <w:lang w:val="fr-CA"/>
        </w:rPr>
        <w:t>, High Impact, » (Série sur les accommodements et la conformité en milieu de travail : faibles coûts et impact important ) [consulté le 24 octobre 2012]; disponible à l'adresse</w:t>
      </w:r>
      <w:r>
        <w:rPr>
          <w:rFonts w:ascii="Calibri" w:eastAsia="Calibri" w:hAnsi="Calibri" w:cs="Calibri"/>
          <w:color w:val="000000"/>
          <w:sz w:val="18"/>
          <w:szCs w:val="18"/>
          <w:u w:val="single"/>
          <w:bdr w:val="nil"/>
          <w:lang w:val="fr-CA"/>
        </w:rPr>
        <w:t xml:space="preserve"> http://askjan.org/media/lowcosthighimpact.html</w:t>
      </w:r>
    </w:p>
  </w:footnote>
  <w:footnote w:id="7">
    <w:p w:rsidR="00376B18" w:rsidRPr="00156A3E" w:rsidRDefault="00397ADA">
      <w:pPr>
        <w:pStyle w:val="FootnoteText"/>
        <w:rPr>
          <w:lang w:val="fr-CA"/>
        </w:rPr>
      </w:pPr>
      <w:r w:rsidRPr="00376B18">
        <w:rPr>
          <w:rStyle w:val="FootnoteReference"/>
          <w:sz w:val="18"/>
          <w:szCs w:val="18"/>
        </w:rPr>
        <w:footnoteRef/>
      </w:r>
      <w:r>
        <w:rPr>
          <w:rFonts w:ascii="Calibri" w:eastAsia="Calibri" w:hAnsi="Calibri" w:cs="Calibri"/>
          <w:color w:val="000000"/>
          <w:sz w:val="18"/>
          <w:szCs w:val="18"/>
          <w:bdr w:val="nil"/>
          <w:lang w:val="fr-CA"/>
        </w:rPr>
        <w:t xml:space="preserve">Le Bureau du recensement des États-Unis (consulté le 7 novembre 2012); disponible à l'adresse </w:t>
      </w:r>
      <w:r>
        <w:rPr>
          <w:rFonts w:ascii="Calibri" w:eastAsia="Calibri" w:hAnsi="Calibri" w:cs="Calibri"/>
          <w:color w:val="000000"/>
          <w:sz w:val="18"/>
          <w:szCs w:val="18"/>
          <w:u w:val="single"/>
          <w:bdr w:val="nil"/>
          <w:lang w:val="fr-CA"/>
        </w:rPr>
        <w:t xml:space="preserve"> www.census.gov/newsroom/ releases/archives/facts_for_features_special_editions/cb10-ff13.htm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0A16" w:rsidRDefault="00460A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0A16" w:rsidRDefault="00460A1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0A16" w:rsidRDefault="00460A1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A3E"/>
    <w:rsid w:val="00156A3E"/>
    <w:rsid w:val="00397ADA"/>
    <w:rsid w:val="00460A16"/>
    <w:rsid w:val="004E063A"/>
    <w:rsid w:val="008823F9"/>
    <w:rsid w:val="00B407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85DE7C-BF29-449D-A255-8E538B997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3">
    <w:name w:val="Pa3"/>
    <w:basedOn w:val="Normal"/>
    <w:next w:val="Normal"/>
    <w:uiPriority w:val="99"/>
    <w:rsid w:val="00376B18"/>
    <w:pPr>
      <w:widowControl w:val="0"/>
      <w:autoSpaceDE w:val="0"/>
      <w:autoSpaceDN w:val="0"/>
      <w:adjustRightInd w:val="0"/>
      <w:spacing w:line="241" w:lineRule="atLeast"/>
    </w:pPr>
    <w:rPr>
      <w:rFonts w:ascii="Whitney-Medium" w:hAnsi="Whitney-Medium"/>
    </w:rPr>
  </w:style>
  <w:style w:type="character" w:customStyle="1" w:styleId="A5">
    <w:name w:val="A5"/>
    <w:uiPriority w:val="99"/>
    <w:rsid w:val="00376B18"/>
    <w:rPr>
      <w:rFonts w:ascii="Arial" w:hAnsi="Arial" w:cs="Arial"/>
      <w:b/>
      <w:bCs/>
      <w:color w:val="000000"/>
      <w:sz w:val="25"/>
      <w:szCs w:val="25"/>
    </w:rPr>
  </w:style>
  <w:style w:type="character" w:customStyle="1" w:styleId="A8">
    <w:name w:val="A8"/>
    <w:uiPriority w:val="99"/>
    <w:rsid w:val="00376B18"/>
    <w:rPr>
      <w:rFonts w:ascii="MNYKDH+ArialMT" w:hAnsi="MNYKDH+ArialMT" w:cs="MNYKDH+ArialMT"/>
      <w:color w:val="000000"/>
      <w:sz w:val="14"/>
      <w:szCs w:val="14"/>
    </w:rPr>
  </w:style>
  <w:style w:type="paragraph" w:styleId="FootnoteText">
    <w:name w:val="footnote text"/>
    <w:basedOn w:val="Normal"/>
    <w:link w:val="FootnoteTextChar"/>
    <w:uiPriority w:val="99"/>
    <w:unhideWhenUsed/>
    <w:rsid w:val="00376B18"/>
  </w:style>
  <w:style w:type="character" w:customStyle="1" w:styleId="FootnoteTextChar">
    <w:name w:val="Footnote Text Char"/>
    <w:basedOn w:val="DefaultParagraphFont"/>
    <w:link w:val="FootnoteText"/>
    <w:uiPriority w:val="99"/>
    <w:rsid w:val="00376B18"/>
  </w:style>
  <w:style w:type="character" w:styleId="FootnoteReference">
    <w:name w:val="footnote reference"/>
    <w:basedOn w:val="DefaultParagraphFont"/>
    <w:uiPriority w:val="99"/>
    <w:unhideWhenUsed/>
    <w:rsid w:val="00376B18"/>
    <w:rPr>
      <w:vertAlign w:val="superscript"/>
    </w:rPr>
  </w:style>
  <w:style w:type="character" w:customStyle="1" w:styleId="A10">
    <w:name w:val="A10"/>
    <w:uiPriority w:val="99"/>
    <w:rsid w:val="00376B18"/>
    <w:rPr>
      <w:rFonts w:cs="MNYKDH+ArialMT"/>
      <w:color w:val="000000"/>
      <w:sz w:val="21"/>
      <w:szCs w:val="21"/>
    </w:rPr>
  </w:style>
  <w:style w:type="character" w:customStyle="1" w:styleId="A11">
    <w:name w:val="A11"/>
    <w:uiPriority w:val="99"/>
    <w:rsid w:val="00376B18"/>
    <w:rPr>
      <w:rFonts w:cs="MNYKDH+ArialMT"/>
      <w:color w:val="000000"/>
      <w:sz w:val="21"/>
      <w:szCs w:val="21"/>
      <w:u w:val="single"/>
    </w:rPr>
  </w:style>
  <w:style w:type="paragraph" w:styleId="Header">
    <w:name w:val="header"/>
    <w:basedOn w:val="Normal"/>
    <w:link w:val="HeaderChar"/>
    <w:uiPriority w:val="99"/>
    <w:unhideWhenUsed/>
    <w:rsid w:val="00460A16"/>
    <w:pPr>
      <w:tabs>
        <w:tab w:val="center" w:pos="4320"/>
        <w:tab w:val="right" w:pos="8640"/>
      </w:tabs>
    </w:pPr>
  </w:style>
  <w:style w:type="character" w:customStyle="1" w:styleId="HeaderChar">
    <w:name w:val="Header Char"/>
    <w:basedOn w:val="DefaultParagraphFont"/>
    <w:link w:val="Header"/>
    <w:uiPriority w:val="99"/>
    <w:rsid w:val="00460A16"/>
  </w:style>
  <w:style w:type="paragraph" w:styleId="Footer">
    <w:name w:val="footer"/>
    <w:basedOn w:val="Normal"/>
    <w:link w:val="FooterChar"/>
    <w:uiPriority w:val="99"/>
    <w:unhideWhenUsed/>
    <w:rsid w:val="00460A16"/>
    <w:pPr>
      <w:tabs>
        <w:tab w:val="center" w:pos="4320"/>
        <w:tab w:val="right" w:pos="8640"/>
      </w:tabs>
    </w:pPr>
  </w:style>
  <w:style w:type="character" w:customStyle="1" w:styleId="FooterChar">
    <w:name w:val="Footer Char"/>
    <w:basedOn w:val="DefaultParagraphFont"/>
    <w:link w:val="Footer"/>
    <w:uiPriority w:val="99"/>
    <w:rsid w:val="00460A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DA29EE9-3F76-42F3-9DF2-F43B9FDD7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490</Words>
  <Characters>2799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Rowlson</dc:creator>
  <cp:lastModifiedBy>Christina Stoney</cp:lastModifiedBy>
  <cp:revision>2</cp:revision>
  <dcterms:created xsi:type="dcterms:W3CDTF">2016-09-09T15:43:00Z</dcterms:created>
  <dcterms:modified xsi:type="dcterms:W3CDTF">2016-09-09T15:43:00Z</dcterms:modified>
</cp:coreProperties>
</file>